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МІНІСТЕРСТВО</w:t>
      </w: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 xml:space="preserve"> ОСВІТИ І НАУКИ УКРАЇНИ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ЛЬВІВСЬКИЙ НАЦІОНАЛЬНИЙ УНІВЕРСИТЕТ ІМЕНІ ІВАНА ФРАНКА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МЕХАНІКО-МАТЕМАТИЧНИЙ ФАКУЛЬТЕТ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Кафедра теорій функцій і функціонального аналізу</w:t>
      </w: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на засіданні кафедри теорії функцій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і функціонального аналізу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(протокол №8 від 17 травня 2021 р.)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 xml:space="preserve">В.о. завідувача кафедри 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152400</wp:posOffset>
            </wp:positionV>
            <wp:extent cx="1471295" cy="1431290"/>
            <wp:effectExtent l="0" t="0" r="14605" b="1651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доктор фізико-математичних наук,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професор Скасків О. Б.</w:t>
      </w:r>
    </w:p>
    <w:p>
      <w:pPr>
        <w:ind w:left="6000" w:leftChars="2500" w:firstLine="0" w:firstLineChars="0"/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________</w:t>
      </w:r>
      <w:r>
        <w:rPr>
          <w:u w:val="single"/>
        </w:rPr>
        <w:drawing>
          <wp:inline distT="0" distB="0" distL="114300" distR="114300">
            <wp:extent cx="528320" cy="383540"/>
            <wp:effectExtent l="0" t="0" r="5080" b="1651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sz w:val="28"/>
          <w:szCs w:val="28"/>
          <w:lang w:val="uk-UA"/>
        </w:rPr>
        <w:t>___________</w:t>
      </w: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Силабус з навчальної дисципліни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„Науковий семінар з аналізу“,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що викладається в межах освітньо-наукової програми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підготовки доктора філософії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(третього (освітньо-наукового) рівня вищої освіти)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для здобувачів за спеціальністю 111 Математика</w:t>
      </w: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both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sz w:val="32"/>
          <w:szCs w:val="32"/>
          <w:lang w:val="uk-UA"/>
        </w:rPr>
        <w:t>Львів 2021</w:t>
      </w:r>
    </w:p>
    <w:p>
      <w:pPr>
        <w:jc w:val="center"/>
        <w:rPr>
          <w:rFonts w:hint="default"/>
          <w:b w:val="0"/>
          <w:lang w:val="uk-UA"/>
        </w:rPr>
      </w:pPr>
      <w:r>
        <w:rPr>
          <w:b w:val="0"/>
        </w:rPr>
        <w:br w:type="page"/>
      </w:r>
    </w:p>
    <w:p>
      <w:pPr>
        <w:pStyle w:val="13"/>
        <w:shd w:val="clear" w:color="auto" w:fill="auto"/>
        <w:spacing w:before="0" w:line="240" w:lineRule="exact"/>
        <w:ind w:left="20"/>
        <w:jc w:val="center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9"/>
        <w:tblpPr w:leftFromText="180" w:rightFromText="180" w:vertAnchor="text" w:horzAnchor="margin" w:tblpXSpec="center" w:tblpY="1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8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30" w:lineRule="exact"/>
            </w:pPr>
            <w:r>
              <w:rPr>
                <w:rStyle w:val="22"/>
                <w:sz w:val="24"/>
                <w:szCs w:val="24"/>
              </w:rPr>
              <w:t>Назва дисципліни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Науковий семінар з аналізу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2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Львівський національний факультет імені Івана Франка,</w:t>
            </w:r>
          </w:p>
          <w:p>
            <w:pPr>
              <w:pStyle w:val="15"/>
              <w:shd w:val="clear" w:color="auto" w:fill="auto"/>
              <w:spacing w:line="274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Механіко-математичний факультет, </w:t>
            </w:r>
          </w:p>
          <w:p>
            <w:pPr>
              <w:pStyle w:val="15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вул. Університетська 1, м. Львів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69" w:lineRule="exac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Факультет та кафедра, </w:t>
            </w:r>
          </w:p>
          <w:p>
            <w:pPr>
              <w:pStyle w:val="15"/>
              <w:shd w:val="clear" w:color="auto" w:fill="auto"/>
              <w:spacing w:line="269" w:lineRule="exact"/>
            </w:pPr>
            <w:r>
              <w:rPr>
                <w:rStyle w:val="22"/>
                <w:sz w:val="24"/>
                <w:szCs w:val="24"/>
              </w:rPr>
              <w:t>за якою закріплена дисципліна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74" w:lineRule="exact"/>
              <w:rPr>
                <w:rStyle w:val="23"/>
              </w:rPr>
            </w:pPr>
            <w:r>
              <w:rPr>
                <w:rStyle w:val="23"/>
              </w:rPr>
              <w:t>Механіко-математичний факультет,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3"/>
              </w:rPr>
              <w:t>кафедра теорії функцій і функціонального аналізу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83" w:lineRule="exact"/>
              <w:rPr>
                <w:b/>
                <w:bCs/>
              </w:rPr>
            </w:pPr>
            <w:r>
              <w:rPr>
                <w:rStyle w:val="22"/>
                <w:sz w:val="24"/>
                <w:szCs w:val="24"/>
              </w:rPr>
              <w:t xml:space="preserve">Галузь знань 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78" w:lineRule="exact"/>
            </w:pPr>
            <w:r>
              <w:rPr>
                <w:rStyle w:val="23"/>
              </w:rPr>
              <w:t>11 Математика та Статистика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83" w:lineRule="exac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Шифр спеціальності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78" w:lineRule="exact"/>
              <w:rPr>
                <w:rStyle w:val="23"/>
              </w:rPr>
            </w:pPr>
            <w:r>
              <w:rPr>
                <w:rStyle w:val="23"/>
              </w:rPr>
              <w:t>111 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30" w:lineRule="exact"/>
            </w:pPr>
            <w:r>
              <w:rPr>
                <w:rStyle w:val="22"/>
                <w:sz w:val="24"/>
                <w:szCs w:val="24"/>
              </w:rPr>
              <w:t>Викладачі дисципліни</w:t>
            </w:r>
          </w:p>
        </w:tc>
        <w:tc>
          <w:tcPr>
            <w:tcW w:w="6930" w:type="dxa"/>
          </w:tcPr>
          <w:p>
            <w:pPr>
              <w:pStyle w:val="31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Скасків Олег Богданович,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д.ф.-м.н.,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професор</w:t>
            </w:r>
          </w:p>
          <w:p>
            <w:pPr>
              <w:pStyle w:val="15"/>
              <w:shd w:val="clear" w:color="auto" w:fill="auto"/>
              <w:spacing w:line="240" w:lineRule="exact"/>
              <w:jc w:val="both"/>
            </w:pPr>
            <w:r>
              <w:t>Чижиков Ігор Ельбертович,</w:t>
            </w:r>
            <w:r>
              <w:rPr>
                <w:spacing w:val="-3"/>
              </w:rPr>
              <w:t xml:space="preserve"> </w:t>
            </w:r>
            <w:r>
              <w:t>д.ф.-м.н.,</w:t>
            </w:r>
            <w:r>
              <w:rPr>
                <w:spacing w:val="-3"/>
              </w:rPr>
              <w:t xml:space="preserve"> </w:t>
            </w:r>
            <w:r>
              <w:t>професор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20" w:lineRule="exact"/>
            </w:pPr>
            <w:r>
              <w:rPr>
                <w:rStyle w:val="22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930" w:type="dxa"/>
          </w:tcPr>
          <w:p>
            <w:pPr>
              <w:pStyle w:val="31"/>
              <w:spacing w:line="236" w:lineRule="exact"/>
            </w:pPr>
            <w:r>
              <w:fldChar w:fldCharType="begin"/>
            </w:r>
            <w:r>
              <w:instrText xml:space="preserve"> HYPERLINK "mailto:oleh.skaskiv@lnu.edu.ua" </w:instrText>
            </w:r>
            <w:r>
              <w:fldChar w:fldCharType="separate"/>
            </w:r>
            <w:r>
              <w:rPr>
                <w:rStyle w:val="8"/>
                <w:rFonts w:eastAsia="Candara"/>
                <w:lang w:val="en-US"/>
              </w:rPr>
              <w:t>oleh</w:t>
            </w:r>
            <w:r>
              <w:rPr>
                <w:rStyle w:val="8"/>
                <w:rFonts w:eastAsia="Candara"/>
              </w:rPr>
              <w:t>.</w:t>
            </w:r>
            <w:r>
              <w:rPr>
                <w:rStyle w:val="8"/>
                <w:rFonts w:eastAsia="Candara"/>
                <w:lang w:val="en-US"/>
              </w:rPr>
              <w:t>skaskiv</w:t>
            </w:r>
            <w:r>
              <w:rPr>
                <w:rStyle w:val="8"/>
                <w:rFonts w:eastAsia="Candara"/>
              </w:rPr>
              <w:t>@</w:t>
            </w:r>
            <w:r>
              <w:rPr>
                <w:rStyle w:val="8"/>
                <w:rFonts w:eastAsia="Candara"/>
                <w:lang w:val="en-US"/>
              </w:rPr>
              <w:t>lnu</w:t>
            </w:r>
            <w:r>
              <w:rPr>
                <w:rStyle w:val="8"/>
                <w:rFonts w:eastAsia="Candara"/>
              </w:rPr>
              <w:t>.</w:t>
            </w:r>
            <w:r>
              <w:rPr>
                <w:rStyle w:val="8"/>
                <w:rFonts w:eastAsia="Candara"/>
                <w:lang w:val="en-US"/>
              </w:rPr>
              <w:t>edu</w:t>
            </w:r>
            <w:r>
              <w:rPr>
                <w:rStyle w:val="8"/>
                <w:rFonts w:eastAsia="Candara"/>
              </w:rPr>
              <w:t>.</w:t>
            </w:r>
            <w:r>
              <w:rPr>
                <w:rStyle w:val="8"/>
                <w:rFonts w:eastAsia="Candara"/>
                <w:lang w:val="en-US"/>
              </w:rPr>
              <w:t>ua</w:t>
            </w:r>
            <w:r>
              <w:rPr>
                <w:rStyle w:val="8"/>
                <w:rFonts w:eastAsia="Candara"/>
                <w:lang w:val="en-US"/>
              </w:rPr>
              <w:fldChar w:fldCharType="end"/>
            </w:r>
          </w:p>
          <w:p>
            <w:pPr>
              <w:pStyle w:val="15"/>
              <w:shd w:val="clear" w:color="auto" w:fill="auto"/>
              <w:spacing w:line="240" w:lineRule="exact"/>
              <w:jc w:val="both"/>
              <w:rPr>
                <w:lang w:eastAsia="en-US" w:bidi="en-US"/>
              </w:rPr>
            </w:pPr>
            <w:r>
              <w:fldChar w:fldCharType="begin"/>
            </w:r>
            <w:r>
              <w:instrText xml:space="preserve"> HYPERLINK "mailto:ihor.chyzhykov@lnu.edu.ua" </w:instrText>
            </w:r>
            <w:r>
              <w:fldChar w:fldCharType="separate"/>
            </w:r>
            <w:r>
              <w:rPr>
                <w:rStyle w:val="8"/>
                <w:rFonts w:eastAsia="Candara"/>
                <w:u w:color="0066CC"/>
                <w:lang w:val="en-US"/>
              </w:rPr>
              <w:t>ihor</w:t>
            </w:r>
            <w:r>
              <w:rPr>
                <w:rStyle w:val="8"/>
                <w:rFonts w:eastAsia="Candara"/>
                <w:u w:color="0066CC"/>
              </w:rPr>
              <w:t>.</w:t>
            </w:r>
            <w:r>
              <w:rPr>
                <w:rStyle w:val="8"/>
                <w:rFonts w:eastAsia="Candara"/>
                <w:u w:color="0066CC"/>
                <w:lang w:val="en-US"/>
              </w:rPr>
              <w:t>chyzhykov</w:t>
            </w:r>
            <w:r>
              <w:rPr>
                <w:rStyle w:val="8"/>
                <w:rFonts w:eastAsia="Candara"/>
                <w:u w:color="0066CC"/>
              </w:rPr>
              <w:t>@lnu.edu.ua</w:t>
            </w:r>
            <w:r>
              <w:rPr>
                <w:rStyle w:val="8"/>
                <w:rFonts w:eastAsia="Candara"/>
                <w:u w:color="0066CC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Консультації з питань навчання по дисципліні </w:t>
            </w:r>
          </w:p>
        </w:tc>
        <w:tc>
          <w:tcPr>
            <w:tcW w:w="693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Консультації в день проведення семінару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попередньою домовленістю).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Сторінка курсу</w:t>
            </w:r>
          </w:p>
        </w:tc>
        <w:tc>
          <w:tcPr>
            <w:tcW w:w="6930" w:type="dxa"/>
          </w:tcPr>
          <w:p>
            <w:pPr>
              <w:jc w:val="both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https://new.mmf.lnu.edu.ua/academics/postgraduates/onp-np-111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before="20" w:line="274" w:lineRule="exact"/>
            </w:pPr>
            <w:r>
              <w:rPr>
                <w:rStyle w:val="22"/>
              </w:rPr>
              <w:t>Інформація про дисципліну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before="40" w:after="40" w:line="240" w:lineRule="exact"/>
            </w:pPr>
            <w:r>
              <w:t xml:space="preserve">Науковий семінар з аналізу є одним з основних елементів освітньої програми підготовки доктора філософії у галузі теорії функцій і функціонального аналізу та суміжних дисциплін. Він закладає основи широкого наукового кругозору, а також та практичні навички наукових дискусій та командного наукового пошуку.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2"/>
              </w:rPr>
              <w:t>Коротка анотація дисципліни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before="20" w:after="40" w:line="240" w:lineRule="exact"/>
              <w:rPr>
                <w:rStyle w:val="23"/>
              </w:rPr>
            </w:pPr>
            <w:r>
              <w:rPr>
                <w:rStyle w:val="23"/>
              </w:rPr>
              <w:t xml:space="preserve">Дисципліна “Науковий семінар з аналізу” є вибірковою дисципліною зі спеціальності 111 Математика для освітньої програми підготовки доктора філософії, яка викладається в Львівському національному університеті імені Івана Франка протягом перших семи семестрів на усіх чотирьох роках навчання в загальному обсязі 4 кредитів (за Європейською Кредитно-Трансферною Системою </w:t>
            </w:r>
            <w:r>
              <w:rPr>
                <w:rStyle w:val="23"/>
                <w:lang w:val="en-US" w:eastAsia="en-US" w:bidi="en-US"/>
              </w:rPr>
              <w:t>ECTS).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78" w:lineRule="exact"/>
            </w:pPr>
            <w:r>
              <w:rPr>
                <w:rStyle w:val="22"/>
              </w:rPr>
              <w:t>Мета та цілі дисципліни</w:t>
            </w:r>
          </w:p>
        </w:tc>
        <w:tc>
          <w:tcPr>
            <w:tcW w:w="6930" w:type="dxa"/>
          </w:tcPr>
          <w:p>
            <w:pPr>
              <w:pStyle w:val="15"/>
              <w:shd w:val="clear" w:color="auto" w:fill="auto"/>
              <w:spacing w:line="240" w:lineRule="exact"/>
              <w:rPr>
                <w:rStyle w:val="23"/>
              </w:rPr>
            </w:pPr>
            <w:r>
              <w:t>Метою наукового семінару з аналізу є активне залучення аспіранта до наукової роботи, ознайомлення з новітніми математичними досягненнями в галузі аналізу, знайомство з провідними математиками України та світу, вивчення передових методів презентації наукових результатів, засвоєння культури ведення наукових дискусій, в тому числі англійською мовою, засвоєння на практиці методик наукового пошуку у галузі математичного аналізу, формування командного духу та навичок роботи у команді.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78" w:lineRule="exact"/>
              <w:rPr>
                <w:rStyle w:val="22"/>
              </w:rPr>
            </w:pPr>
            <w:r>
              <w:rPr>
                <w:rStyle w:val="22"/>
              </w:rPr>
              <w:t>Література для вивчення дисципліни</w:t>
            </w:r>
          </w:p>
        </w:tc>
        <w:tc>
          <w:tcPr>
            <w:tcW w:w="6930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23"/>
                <w:b w:val="0"/>
                <w:bCs/>
              </w:rPr>
            </w:pPr>
            <w:r>
              <w:rPr>
                <w:rStyle w:val="23"/>
                <w:b w:val="0"/>
                <w:bCs/>
              </w:rPr>
              <w:t xml:space="preserve">Науковий семінар </w:t>
            </w:r>
            <w:r>
              <w:rPr>
                <w:b w:val="0"/>
                <w:sz w:val="24"/>
              </w:rPr>
              <w:t>“Львівський міський семінар з теорії аналітичних функцій”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23"/>
                <w:b w:val="0"/>
                <w:bCs/>
              </w:rPr>
            </w:pPr>
            <w:r>
              <w:rPr>
                <w:rStyle w:val="23"/>
                <w:b w:val="0"/>
                <w:bCs/>
              </w:rPr>
              <w:t>(</w:t>
            </w:r>
            <w:r>
              <w:fldChar w:fldCharType="begin"/>
            </w:r>
            <w:r>
              <w:instrText xml:space="preserve"> HYPERLINK "https://new.mmf.lnu.edu.ua/department/teoriyi-funktsiy-i-funktsionalnoho-analizu" \t "_blank" </w:instrText>
            </w:r>
            <w:r>
              <w:fldChar w:fldCharType="separate"/>
            </w:r>
            <w:r>
              <w:rPr>
                <w:rStyle w:val="8"/>
                <w:color w:val="1155CC"/>
                <w:sz w:val="24"/>
                <w:szCs w:val="24"/>
                <w:shd w:val="clear" w:color="auto" w:fill="FFFFFF"/>
              </w:rPr>
              <w:t>https://new.mmf.lnu.edu.ua/department/teoriyi-funktsiy-i-funktsionalnoho-analizu</w:t>
            </w:r>
            <w:r>
              <w:rPr>
                <w:rStyle w:val="8"/>
                <w:color w:val="1155CC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Style w:val="23"/>
                <w:b w:val="0"/>
                <w:bCs/>
              </w:rPr>
              <w:t>)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/>
                <w:color w:val="333333"/>
                <w:sz w:val="24"/>
                <w:szCs w:val="24"/>
              </w:rPr>
            </w:pPr>
            <w:r>
              <w:rPr>
                <w:rStyle w:val="23"/>
                <w:b w:val="0"/>
                <w:bCs/>
                <w:lang w:val="en-US"/>
              </w:rPr>
              <w:t>S.R. Garcia, S.J. Miller</w:t>
            </w:r>
            <w:r>
              <w:rPr>
                <w:rStyle w:val="23"/>
                <w:b w:val="0"/>
                <w:bCs/>
                <w:i/>
                <w:lang w:val="en-US"/>
              </w:rPr>
              <w:t xml:space="preserve">, </w:t>
            </w:r>
            <w:r>
              <w:rPr>
                <w:b w:val="0"/>
                <w:bCs w:val="0"/>
                <w:i/>
                <w:color w:val="333333"/>
                <w:sz w:val="24"/>
                <w:szCs w:val="24"/>
              </w:rPr>
              <w:t xml:space="preserve">100 Years of Math Milestones: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i/>
                <w:color w:val="333333"/>
                <w:sz w:val="24"/>
                <w:szCs w:val="24"/>
              </w:rPr>
              <w:t>The Pi Mu Epsilon Centennial Collection</w:t>
            </w:r>
            <w:r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  <w:t>, AMS, 2019.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23"/>
                <w:rFonts w:ascii="Lato" w:hAnsi="Lato"/>
                <w:b w:val="0"/>
                <w:bCs w:val="0"/>
                <w:color w:val="000000" w:themeColor="text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"https://bookstore.ams.org/authors@AuthorsSearch=Stanley%2C%20Richard" </w:instrText>
            </w:r>
            <w:r>
              <w:fldChar w:fldCharType="separate"/>
            </w:r>
            <w:r>
              <w:rPr>
                <w:rStyle w:val="8"/>
                <w:rFonts w:ascii="Lato" w:hAnsi="Lato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R.P. Stanley</w:t>
            </w:r>
            <w:r>
              <w:rPr>
                <w:rStyle w:val="8"/>
                <w:rFonts w:ascii="Lato" w:hAnsi="Lato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i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Lato" w:hAnsi="Lato"/>
                <w:b w:val="0"/>
                <w:bCs w:val="0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Conversational Problem Solving</w:t>
            </w:r>
            <w:r>
              <w:rPr>
                <w:rFonts w:ascii="Lato" w:hAnsi="Lato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, AMS,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tcMar>
              <w:left w:w="72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30" w:lineRule="exact"/>
            </w:pPr>
            <w:r>
              <w:rPr>
                <w:rStyle w:val="22"/>
              </w:rPr>
              <w:t>Обсяг курсу</w:t>
            </w:r>
          </w:p>
        </w:tc>
        <w:tc>
          <w:tcPr>
            <w:tcW w:w="6930" w:type="dxa"/>
            <w:vAlign w:val="bottom"/>
          </w:tcPr>
          <w:p>
            <w:pPr>
              <w:pStyle w:val="15"/>
              <w:shd w:val="clear" w:color="auto" w:fill="auto"/>
              <w:spacing w:line="274" w:lineRule="exact"/>
              <w:rPr>
                <w:rStyle w:val="23"/>
                <w:lang w:val="ru-RU" w:eastAsia="en-US" w:bidi="en-US"/>
              </w:rPr>
            </w:pPr>
            <w:r>
              <w:rPr>
                <w:rStyle w:val="23"/>
                <w:lang w:eastAsia="en-US" w:bidi="en-US"/>
              </w:rPr>
              <w:t>Загальний обсяг: 120 год</w:t>
            </w:r>
            <w:r>
              <w:rPr>
                <w:rStyle w:val="23"/>
                <w:lang w:val="ru-RU" w:eastAsia="en-US" w:bidi="en-US"/>
              </w:rPr>
              <w:t>;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3"/>
                <w:lang w:val="ru-RU" w:eastAsia="en-US" w:bidi="en-US"/>
              </w:rPr>
              <w:t>1</w:t>
            </w:r>
            <w:r>
              <w:rPr>
                <w:rStyle w:val="23"/>
                <w:lang w:eastAsia="en-US" w:bidi="en-US"/>
              </w:rPr>
              <w:t>12</w:t>
            </w:r>
            <w:r>
              <w:rPr>
                <w:rStyle w:val="23"/>
                <w:lang w:val="ru-RU" w:eastAsia="en-US" w:bidi="en-US"/>
              </w:rPr>
              <w:t xml:space="preserve"> </w:t>
            </w:r>
            <w:r>
              <w:rPr>
                <w:rStyle w:val="23"/>
              </w:rPr>
              <w:t xml:space="preserve">годин аудиторних занять, з них </w:t>
            </w:r>
            <w:r>
              <w:rPr>
                <w:rStyle w:val="23"/>
                <w:lang w:val="ru-RU"/>
              </w:rPr>
              <w:t>1</w:t>
            </w:r>
            <w:r>
              <w:rPr>
                <w:rStyle w:val="23"/>
              </w:rPr>
              <w:t>12</w:t>
            </w:r>
            <w:r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семінарських занять та 8 год самостійної роботи.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br w:type="page"/>
      </w:r>
    </w:p>
    <w:tbl>
      <w:tblPr>
        <w:tblStyle w:val="9"/>
        <w:tblW w:w="0" w:type="auto"/>
        <w:tblInd w:w="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8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78" w:lineRule="exact"/>
              <w:rPr>
                <w:rStyle w:val="22"/>
              </w:rPr>
            </w:pPr>
            <w:r>
              <w:rPr>
                <w:rStyle w:val="22"/>
              </w:rPr>
              <w:t>Очікувані результати навчання</w:t>
            </w:r>
          </w:p>
        </w:tc>
        <w:tc>
          <w:tcPr>
            <w:tcW w:w="6890" w:type="dxa"/>
          </w:tcPr>
          <w:p>
            <w:pPr>
              <w:pStyle w:val="15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Після завершення цього курсу аспірант буде: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2"/>
              </w:rPr>
              <w:t>- знати</w:t>
            </w:r>
            <w:r>
              <w:rPr>
                <w:rStyle w:val="23"/>
              </w:rPr>
              <w:t>:</w:t>
            </w:r>
            <w:r>
              <w:t xml:space="preserve">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методи ведення наукового дослідження;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правила та принципи наукового спілкування;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мову і стиль наукової роботи;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методику написання наукових статей та монографій;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принципи і правила підготовки наукової доповіді та презентації; </w:t>
            </w:r>
          </w:p>
          <w:p>
            <w:pPr>
              <w:pStyle w:val="15"/>
              <w:shd w:val="clear" w:color="auto" w:fill="auto"/>
              <w:spacing w:line="274" w:lineRule="exact"/>
              <w:rPr>
                <w:rStyle w:val="23"/>
              </w:rPr>
            </w:pPr>
            <w:r>
              <w:t>• базові поняття академічної етики;</w:t>
            </w:r>
          </w:p>
          <w:p>
            <w:pPr>
              <w:pStyle w:val="15"/>
              <w:shd w:val="clear" w:color="auto" w:fill="auto"/>
              <w:spacing w:line="274" w:lineRule="exact"/>
              <w:rPr>
                <w:rStyle w:val="23"/>
                <w:b/>
              </w:rPr>
            </w:pPr>
            <w:r>
              <w:t xml:space="preserve">• </w:t>
            </w:r>
            <w:r>
              <w:rPr>
                <w:rStyle w:val="23"/>
              </w:rPr>
              <w:t>фахівців в галузі математичного аналізу в Україні та за її межами та напрямки їх наукових пошуків;</w:t>
            </w:r>
          </w:p>
          <w:p>
            <w:pPr>
              <w:pStyle w:val="15"/>
              <w:shd w:val="clear" w:color="auto" w:fill="auto"/>
              <w:spacing w:line="274" w:lineRule="exact"/>
              <w:rPr>
                <w:rStyle w:val="23"/>
              </w:rPr>
            </w:pPr>
            <w:r>
              <w:rPr>
                <w:rStyle w:val="23"/>
                <w:b/>
              </w:rPr>
              <w:t>- уміти</w:t>
            </w:r>
            <w:r>
              <w:rPr>
                <w:rStyle w:val="23"/>
                <w:b/>
                <w:lang w:val="ru-RU"/>
              </w:rPr>
              <w:t>: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висувати наукові гіпотези, синтезувати нові наукові ідеї на основі логічних викладок;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 визначати, аналізувати актуальні проблеми у галузі </w:t>
            </w:r>
            <w:r>
              <w:rPr>
                <w:rStyle w:val="23"/>
              </w:rPr>
              <w:t>математичного аналізу</w:t>
            </w:r>
            <w:r>
              <w:t xml:space="preserve"> та критично їх оцінювати;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презентувати на належному науковому та технічному рівні свої наукові результати;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застосовувати міждисциплінарні підходи у науковому пошуку;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використовувати сучасні інформаційні ресурси;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рецензувати наукові праці і доповіді;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застосовувати набуті комунікативні компетентності й етичні настанови для фахового ведення наукових дискусій; </w:t>
            </w:r>
          </w:p>
          <w:p>
            <w:pPr>
              <w:pStyle w:val="15"/>
              <w:shd w:val="clear" w:color="auto" w:fill="auto"/>
              <w:spacing w:line="274" w:lineRule="exact"/>
            </w:pPr>
            <w:r>
              <w:t xml:space="preserve">• керуватися етичними правилами, принципами і нормами під час навчання, викладання та провадження наукової діяльності; </w:t>
            </w:r>
          </w:p>
          <w:p>
            <w:pPr>
              <w:pStyle w:val="15"/>
              <w:shd w:val="clear" w:color="auto" w:fill="auto"/>
              <w:spacing w:line="240" w:lineRule="exact"/>
              <w:rPr>
                <w:rStyle w:val="23"/>
              </w:rPr>
            </w:pPr>
            <w:r>
              <w:t>• відповідально ставитися до виконуваних робіт та нести відповідальність за їхню достовірність та якість.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78" w:lineRule="exact"/>
              <w:rPr>
                <w:rStyle w:val="22"/>
              </w:rPr>
            </w:pPr>
            <w:r>
              <w:rPr>
                <w:rStyle w:val="22"/>
              </w:rPr>
              <w:t>Ключові слова</w:t>
            </w:r>
          </w:p>
        </w:tc>
        <w:tc>
          <w:tcPr>
            <w:tcW w:w="6890" w:type="dxa"/>
          </w:tcPr>
          <w:p>
            <w:pPr>
              <w:pStyle w:val="15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 xml:space="preserve">Аналітична функція,  випадкова аналітична функція, мероморфна функція, розподіл значень, банахів простір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30" w:lineRule="exact"/>
            </w:pPr>
            <w:r>
              <w:rPr>
                <w:rStyle w:val="22"/>
              </w:rPr>
              <w:t>Формат курсу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after="60" w:line="240" w:lineRule="exact"/>
              <w:jc w:val="both"/>
            </w:pPr>
            <w:r>
              <w:rPr>
                <w:rStyle w:val="23"/>
              </w:rPr>
              <w:t xml:space="preserve">Очні або дистанційні засідання семінару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30" w:lineRule="exact"/>
            </w:pPr>
            <w:r>
              <w:rPr>
                <w:rStyle w:val="22"/>
              </w:rPr>
              <w:t>Теми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line="240" w:lineRule="exact"/>
              <w:rPr>
                <w:rStyle w:val="23"/>
              </w:rPr>
            </w:pPr>
            <w:r>
              <w:rPr>
                <w:rStyle w:val="23"/>
              </w:rPr>
              <w:t xml:space="preserve">Тематика семінару визначається поточними науковими інтересами учасників семінару та запрошених доповідачів. </w:t>
            </w:r>
          </w:p>
          <w:p>
            <w:pPr>
              <w:pStyle w:val="15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З тематикою доповідей на семінарі можна ознайомитися на веб-сайті </w:t>
            </w:r>
            <w:r>
              <w:t>(</w:t>
            </w:r>
            <w:r>
              <w:fldChar w:fldCharType="begin"/>
            </w:r>
            <w:r>
              <w:instrText xml:space="preserve"> HYPERLINK "https://new.mmf.lnu.edu.ua/department/teoriyi-funktsiy-i-funktsionalnoho-analizu" \t "_blank" </w:instrText>
            </w:r>
            <w:r>
              <w:fldChar w:fldCharType="separate"/>
            </w:r>
            <w:r>
              <w:rPr>
                <w:rStyle w:val="8"/>
                <w:color w:val="1155CC"/>
                <w:shd w:val="clear" w:color="auto" w:fill="FFFFFF"/>
              </w:rPr>
              <w:t>https://new.mmf.lnu.edu.ua/department/teoriyi-funktsiy-i-funktsionalnoho-analizu</w:t>
            </w:r>
            <w:r>
              <w:rPr>
                <w:rStyle w:val="8"/>
                <w:color w:val="1155CC"/>
                <w:shd w:val="clear" w:color="auto" w:fill="FFFFFF"/>
              </w:rPr>
              <w:fldChar w:fldCharType="end"/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tcMar>
              <w:left w:w="86" w:type="dxa"/>
              <w:right w:w="43" w:type="dxa"/>
            </w:tcMar>
          </w:tcPr>
          <w:p>
            <w:pPr>
              <w:pStyle w:val="15"/>
              <w:shd w:val="clear" w:color="auto" w:fill="auto"/>
              <w:spacing w:line="278" w:lineRule="exact"/>
              <w:rPr>
                <w:b/>
              </w:rPr>
            </w:pPr>
            <w:r>
              <w:rPr>
                <w:b/>
              </w:rPr>
              <w:t>Підсумковий контроль</w:t>
            </w:r>
          </w:p>
          <w:p>
            <w:pPr>
              <w:pStyle w:val="15"/>
              <w:shd w:val="clear" w:color="auto" w:fill="auto"/>
              <w:spacing w:line="278" w:lineRule="exact"/>
            </w:pPr>
            <w:r>
              <w:rPr>
                <w:b/>
              </w:rPr>
              <w:t>форма</w:t>
            </w:r>
          </w:p>
        </w:tc>
        <w:tc>
          <w:tcPr>
            <w:tcW w:w="6890" w:type="dxa"/>
          </w:tcPr>
          <w:p>
            <w:pPr>
              <w:pStyle w:val="15"/>
              <w:shd w:val="clear" w:color="auto" w:fill="auto"/>
              <w:spacing w:line="278" w:lineRule="exact"/>
              <w:rPr>
                <w:rStyle w:val="23"/>
              </w:rPr>
            </w:pPr>
            <w:r>
              <w:rPr>
                <w:rStyle w:val="23"/>
              </w:rPr>
              <w:t>Залік в кінці сьомого семестру</w:t>
            </w:r>
          </w:p>
          <w:p>
            <w:pPr>
              <w:pStyle w:val="15"/>
              <w:shd w:val="clear" w:color="auto" w:fill="auto"/>
              <w:spacing w:line="278" w:lineRule="exact"/>
              <w:rPr>
                <w:rStyle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Пререквізити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3"/>
              </w:rPr>
              <w:t>Базові знання у обсязі магістерської програми з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vAlign w:val="bottom"/>
          </w:tcPr>
          <w:p>
            <w:pPr>
              <w:pStyle w:val="1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</w:tcPr>
          <w:p>
            <w:pPr>
              <w:pStyle w:val="15"/>
              <w:shd w:val="clear" w:color="auto" w:fill="auto"/>
              <w:spacing w:line="240" w:lineRule="exact"/>
            </w:pPr>
            <w:r>
              <w:rPr>
                <w:rStyle w:val="23"/>
              </w:rPr>
              <w:t>Презентація, обговорення, дискусія, постановка відкритих проблем, методи мозкового штурму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30" w:lineRule="exact"/>
              <w:jc w:val="both"/>
            </w:pPr>
            <w:r>
              <w:rPr>
                <w:rStyle w:val="22"/>
              </w:rPr>
              <w:t>Необхідне обладнання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line="240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Мультимедійне обладнання, </w:t>
            </w:r>
          </w:p>
          <w:p>
            <w:pPr>
              <w:pStyle w:val="15"/>
              <w:shd w:val="clear" w:color="auto" w:fill="auto"/>
              <w:spacing w:line="240" w:lineRule="exact"/>
              <w:jc w:val="both"/>
              <w:rPr>
                <w:lang w:val="ru-RU"/>
              </w:rPr>
            </w:pPr>
            <w:r>
              <w:rPr>
                <w:rStyle w:val="23"/>
              </w:rPr>
              <w:t>обладнання для дистанційного проведення семінарів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line="274" w:lineRule="exact"/>
            </w:pPr>
            <w:r>
              <w:rPr>
                <w:rStyle w:val="22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Оцінювання проводиться за 100-бальною шкалою.</w:t>
            </w:r>
          </w:p>
          <w:p>
            <w:pPr>
              <w:pStyle w:val="15"/>
              <w:shd w:val="clear" w:color="auto" w:fill="auto"/>
              <w:spacing w:line="274" w:lineRule="exact"/>
              <w:rPr>
                <w:rStyle w:val="23"/>
              </w:rPr>
            </w:pPr>
            <w:r>
              <w:rPr>
                <w:rStyle w:val="23"/>
              </w:rPr>
              <w:t xml:space="preserve">Бали нараховуються за основі доповідей на семінарах (щонайменше раз у семестр) та балів поточної успішності (які набираються на семінарських заняттях при загальному обговоренні). </w:t>
            </w:r>
          </w:p>
          <w:p>
            <w:pPr>
              <w:pStyle w:val="15"/>
              <w:shd w:val="clear" w:color="auto" w:fill="auto"/>
              <w:spacing w:line="274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Максимальна кількість балів:</w:t>
            </w:r>
          </w:p>
          <w:p>
            <w:pPr>
              <w:pStyle w:val="15"/>
              <w:shd w:val="clear" w:color="auto" w:fill="auto"/>
              <w:spacing w:line="274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за</w:t>
            </w:r>
            <w:r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</w:rPr>
              <w:t>поточну успішність – 30,</w:t>
            </w:r>
          </w:p>
          <w:p>
            <w:pPr>
              <w:pStyle w:val="15"/>
              <w:shd w:val="clear" w:color="auto" w:fill="auto"/>
              <w:spacing w:line="274" w:lineRule="exact"/>
              <w:jc w:val="both"/>
            </w:pPr>
            <w:r>
              <w:t>за доповіді на семінарах – 70.</w:t>
            </w:r>
          </w:p>
          <w:p>
            <w:pPr>
              <w:pStyle w:val="15"/>
              <w:shd w:val="clear" w:color="auto" w:fill="auto"/>
              <w:spacing w:after="120" w:line="274" w:lineRule="exact"/>
              <w:jc w:val="both"/>
            </w:pPr>
            <w:r>
              <w:rPr>
                <w:rStyle w:val="23"/>
              </w:rPr>
              <w:t>Підсумкова максимальна кількість балів - 100 балів.</w:t>
            </w:r>
          </w:p>
          <w:p>
            <w:pPr>
              <w:pStyle w:val="15"/>
              <w:shd w:val="clear" w:color="auto" w:fill="auto"/>
              <w:spacing w:before="120" w:after="120" w:line="274" w:lineRule="exact"/>
              <w:rPr>
                <w:rStyle w:val="23"/>
              </w:rPr>
            </w:pPr>
            <w:r>
              <w:rPr>
                <w:rStyle w:val="22"/>
              </w:rPr>
              <w:t xml:space="preserve">Відвідання семінарів </w:t>
            </w:r>
            <w:r>
              <w:rPr>
                <w:rStyle w:val="23"/>
              </w:rPr>
              <w:t xml:space="preserve">є важливою складовою навчання. Очікується, що всі студенти відвідають усі семінарські заняття курсу і виголосять щонайменше по одній доповіді у кожному семестрі. Студенти зобов’язані інформувати викладача про неможливість відвідати семінарське заняття. </w:t>
            </w:r>
          </w:p>
          <w:p>
            <w:pPr>
              <w:pStyle w:val="15"/>
              <w:shd w:val="clear" w:color="auto" w:fill="auto"/>
              <w:spacing w:before="120" w:after="120" w:line="274" w:lineRule="exact"/>
            </w:pPr>
            <w:r>
              <w:rPr>
                <w:rStyle w:val="22"/>
              </w:rPr>
              <w:t>Політика виставлення балів</w:t>
            </w:r>
            <w:r>
              <w:rPr>
                <w:rStyle w:val="23"/>
              </w:rPr>
              <w:t>: Враховуються бали, зараховані за виголошення доповідей на семінарах, а також за активність під час обговорення доповідей інших учасників семінару. Жодні форми порушення академічної доброчесності не толеруються.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</w:tcPr>
          <w:p>
            <w:pPr>
              <w:pStyle w:val="15"/>
              <w:shd w:val="clear" w:color="auto" w:fill="auto"/>
              <w:spacing w:before="60" w:line="230" w:lineRule="exact"/>
            </w:pPr>
            <w:r>
              <w:rPr>
                <w:rStyle w:val="22"/>
              </w:rPr>
              <w:t>Опитування</w:t>
            </w:r>
          </w:p>
        </w:tc>
        <w:tc>
          <w:tcPr>
            <w:tcW w:w="6890" w:type="dxa"/>
            <w:vAlign w:val="bottom"/>
          </w:tcPr>
          <w:p>
            <w:pPr>
              <w:pStyle w:val="15"/>
              <w:shd w:val="clear" w:color="auto" w:fill="auto"/>
              <w:spacing w:line="283" w:lineRule="exact"/>
              <w:jc w:val="both"/>
            </w:pPr>
            <w:r>
              <w:rPr>
                <w:rStyle w:val="23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</w:rPr>
      </w:pPr>
    </w:p>
    <w:sectPr>
      <w:pgSz w:w="11900" w:h="16840"/>
      <w:pgMar w:top="1042" w:right="448" w:bottom="1102" w:left="73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Candara">
    <w:altName w:val="Carlito"/>
    <w:panose1 w:val="020E0502030303020204"/>
    <w:charset w:val="CC"/>
    <w:family w:val="swiss"/>
    <w:pitch w:val="default"/>
    <w:sig w:usb0="00000000" w:usb1="00000000" w:usb2="00000000" w:usb3="00000000" w:csb0="0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ato">
    <w:panose1 w:val="020F0502020204030203"/>
    <w:charset w:val="00"/>
    <w:family w:val="roman"/>
    <w:pitch w:val="default"/>
    <w:sig w:usb0="E10002FF" w:usb1="5000ECFF" w:usb2="00000009" w:usb3="00000000" w:csb0="200001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metist">
    <w:panose1 w:val="02000503020000020003"/>
    <w:charset w:val="00"/>
    <w:family w:val="auto"/>
    <w:pitch w:val="default"/>
    <w:sig w:usb0="8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9"/>
    <w:rsid w:val="00075DA9"/>
    <w:rsid w:val="00174B0F"/>
    <w:rsid w:val="00186C2E"/>
    <w:rsid w:val="001C6C45"/>
    <w:rsid w:val="001E2477"/>
    <w:rsid w:val="00295346"/>
    <w:rsid w:val="002A0C9F"/>
    <w:rsid w:val="002C043E"/>
    <w:rsid w:val="00305C4D"/>
    <w:rsid w:val="00354236"/>
    <w:rsid w:val="00371EE4"/>
    <w:rsid w:val="00372EF3"/>
    <w:rsid w:val="003E0767"/>
    <w:rsid w:val="00447BA7"/>
    <w:rsid w:val="004A0320"/>
    <w:rsid w:val="004D19A7"/>
    <w:rsid w:val="0054778F"/>
    <w:rsid w:val="006832F8"/>
    <w:rsid w:val="006B435B"/>
    <w:rsid w:val="006C429D"/>
    <w:rsid w:val="007C1560"/>
    <w:rsid w:val="007D70D6"/>
    <w:rsid w:val="0080201E"/>
    <w:rsid w:val="008B3846"/>
    <w:rsid w:val="009C2349"/>
    <w:rsid w:val="009E1E71"/>
    <w:rsid w:val="00AA0501"/>
    <w:rsid w:val="00B1099C"/>
    <w:rsid w:val="00B75CF1"/>
    <w:rsid w:val="00BF0CA2"/>
    <w:rsid w:val="00BF538C"/>
    <w:rsid w:val="00C02F72"/>
    <w:rsid w:val="00C46F2F"/>
    <w:rsid w:val="00C5366E"/>
    <w:rsid w:val="00C64C56"/>
    <w:rsid w:val="00C74ACF"/>
    <w:rsid w:val="00C8080A"/>
    <w:rsid w:val="00CD4338"/>
    <w:rsid w:val="00D06190"/>
    <w:rsid w:val="00D7035D"/>
    <w:rsid w:val="00DB0850"/>
    <w:rsid w:val="00DB64AB"/>
    <w:rsid w:val="00DC5F72"/>
    <w:rsid w:val="00E40B50"/>
    <w:rsid w:val="00EA3F17"/>
    <w:rsid w:val="00EB1022"/>
    <w:rsid w:val="00EC4534"/>
    <w:rsid w:val="00F27162"/>
    <w:rsid w:val="00F766AB"/>
    <w:rsid w:val="00FB74AF"/>
    <w:rsid w:val="00FE701C"/>
    <w:rsid w:val="7F5CCBC6"/>
    <w:rsid w:val="E5FB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uk-UA" w:eastAsia="uk-UA" w:bidi="uk-UA"/>
    </w:rPr>
  </w:style>
  <w:style w:type="paragraph" w:styleId="2">
    <w:name w:val="heading 1"/>
    <w:basedOn w:val="1"/>
    <w:next w:val="1"/>
    <w:link w:val="30"/>
    <w:qFormat/>
    <w:uiPriority w:val="9"/>
    <w:pPr>
      <w:widowControl/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819"/>
        <w:tab w:val="right" w:pos="9639"/>
      </w:tabs>
    </w:pPr>
  </w:style>
  <w:style w:type="paragraph" w:styleId="7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</w:pPr>
  </w:style>
  <w:style w:type="character" w:styleId="8">
    <w:name w:val="Hyperlink"/>
    <w:basedOn w:val="3"/>
    <w:qFormat/>
    <w:uiPriority w:val="99"/>
    <w:rPr>
      <w:color w:val="0066CC"/>
      <w:u w:val="single"/>
    </w:r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ody text (3)_"/>
    <w:basedOn w:val="3"/>
    <w:link w:val="11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1">
    <w:name w:val="Body text (3)"/>
    <w:basedOn w:val="1"/>
    <w:link w:val="10"/>
    <w:qFormat/>
    <w:uiPriority w:val="0"/>
    <w:pPr>
      <w:shd w:val="clear" w:color="auto" w:fill="FFFFFF"/>
      <w:spacing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2">
    <w:name w:val="Body text (4)_"/>
    <w:basedOn w:val="3"/>
    <w:link w:val="13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13">
    <w:name w:val="Body text (4)"/>
    <w:basedOn w:val="1"/>
    <w:link w:val="12"/>
    <w:qFormat/>
    <w:uiPriority w:val="0"/>
    <w:pPr>
      <w:shd w:val="clear" w:color="auto" w:fill="FFFFFF"/>
      <w:spacing w:before="1200" w:line="317" w:lineRule="exact"/>
    </w:pPr>
    <w:rPr>
      <w:rFonts w:ascii="Times New Roman" w:hAnsi="Times New Roman" w:eastAsia="Times New Roman" w:cs="Times New Roman"/>
      <w:b/>
      <w:bCs/>
    </w:rPr>
  </w:style>
  <w:style w:type="character" w:customStyle="1" w:styleId="14">
    <w:name w:val="Body text (2)_"/>
    <w:basedOn w:val="3"/>
    <w:link w:val="15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5">
    <w:name w:val="Body text (2)2"/>
    <w:basedOn w:val="1"/>
    <w:link w:val="14"/>
    <w:qFormat/>
    <w:uiPriority w:val="0"/>
    <w:pPr>
      <w:shd w:val="clear" w:color="auto" w:fill="FFFFFF"/>
      <w:spacing w:line="317" w:lineRule="exact"/>
    </w:pPr>
    <w:rPr>
      <w:rFonts w:ascii="Times New Roman" w:hAnsi="Times New Roman" w:eastAsia="Times New Roman" w:cs="Times New Roman"/>
    </w:rPr>
  </w:style>
  <w:style w:type="character" w:customStyle="1" w:styleId="16">
    <w:name w:val="Body text (2) + Arial Narrow;17 pt;Italic"/>
    <w:basedOn w:val="14"/>
    <w:qFormat/>
    <w:uiPriority w:val="0"/>
    <w:rPr>
      <w:rFonts w:ascii="Arial Narrow" w:hAnsi="Arial Narrow" w:eastAsia="Arial Narrow" w:cs="Arial Narrow"/>
      <w:i/>
      <w:iCs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17">
    <w:name w:val="Body text (2) + Candara;8;5 pt;Italic"/>
    <w:basedOn w:val="14"/>
    <w:qFormat/>
    <w:uiPriority w:val="0"/>
    <w:rPr>
      <w:rFonts w:ascii="Candara" w:hAnsi="Candara" w:eastAsia="Candara" w:cs="Candara"/>
      <w:i/>
      <w:iCs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8">
    <w:name w:val="Body text (2) + Italic"/>
    <w:basedOn w:val="14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9">
    <w:name w:val="Body text (2) + 19 pt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0">
    <w:name w:val="Heading #1_"/>
    <w:basedOn w:val="3"/>
    <w:link w:val="21"/>
    <w:qFormat/>
    <w:uiPriority w:val="0"/>
    <w:rPr>
      <w:rFonts w:ascii="Times New Roman" w:hAnsi="Times New Roman" w:eastAsia="Times New Roman" w:cs="Times New Roman"/>
      <w:b/>
      <w:bCs/>
      <w:sz w:val="32"/>
      <w:szCs w:val="32"/>
      <w:u w:val="none"/>
    </w:rPr>
  </w:style>
  <w:style w:type="paragraph" w:customStyle="1" w:styleId="21">
    <w:name w:val="Heading #1"/>
    <w:basedOn w:val="1"/>
    <w:link w:val="20"/>
    <w:qFormat/>
    <w:uiPriority w:val="0"/>
    <w:pPr>
      <w:shd w:val="clear" w:color="auto" w:fill="FFFFFF"/>
      <w:spacing w:before="660" w:line="552" w:lineRule="exact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character" w:customStyle="1" w:styleId="22">
    <w:name w:val="Body text (2) + 11;5 pt;Bold"/>
    <w:basedOn w:val="1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">
    <w:name w:val="Body text (2)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Body text (2)1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Table caption_"/>
    <w:basedOn w:val="3"/>
    <w:link w:val="26"/>
    <w:qFormat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26">
    <w:name w:val="Table caption1"/>
    <w:basedOn w:val="1"/>
    <w:link w:val="25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27">
    <w:name w:val="Table caption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Верхній колонтитул Знак"/>
    <w:basedOn w:val="3"/>
    <w:link w:val="7"/>
    <w:qFormat/>
    <w:uiPriority w:val="99"/>
    <w:rPr>
      <w:color w:val="000000"/>
    </w:rPr>
  </w:style>
  <w:style w:type="character" w:customStyle="1" w:styleId="29">
    <w:name w:val="Нижній колонтитул Знак"/>
    <w:basedOn w:val="3"/>
    <w:link w:val="6"/>
    <w:qFormat/>
    <w:uiPriority w:val="99"/>
    <w:rPr>
      <w:color w:val="000000"/>
    </w:rPr>
  </w:style>
  <w:style w:type="character" w:customStyle="1" w:styleId="30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bidi="ar-SA"/>
    </w:rPr>
  </w:style>
  <w:style w:type="paragraph" w:customStyle="1" w:styleId="31">
    <w:name w:val="Table Paragraph"/>
    <w:basedOn w:val="1"/>
    <w:qFormat/>
    <w:uiPriority w:val="1"/>
    <w:pPr>
      <w:autoSpaceDE w:val="0"/>
      <w:autoSpaceDN w:val="0"/>
      <w:ind w:left="107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character" w:customStyle="1" w:styleId="32">
    <w:name w:val="Текст у виносці Знак"/>
    <w:basedOn w:val="3"/>
    <w:link w:val="5"/>
    <w:semiHidden/>
    <w:qFormat/>
    <w:uiPriority w:val="99"/>
    <w:rPr>
      <w:rFonts w:ascii="Segoe UI" w:hAnsi="Segoe UI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4257</Words>
  <Characters>2428</Characters>
  <Lines>20</Lines>
  <Paragraphs>13</Paragraphs>
  <TotalTime>1</TotalTime>
  <ScaleCrop>false</ScaleCrop>
  <LinksUpToDate>false</LinksUpToDate>
  <CharactersWithSpaces>6672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2021-05-29T03:00:00Z</dcterms:created>
  <dc:creator>Admin</dc:creator>
  <cp:lastModifiedBy>andriychychok</cp:lastModifiedBy>
  <cp:lastPrinted>2021-05-29T02:35:00Z</cp:lastPrinted>
  <dcterms:modified xsi:type="dcterms:W3CDTF">2022-10-09T23:44:50Z</dcterms:modified>
  <dc:title>Untitled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