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before="73" w:after="0" w:line="240" w:lineRule="auto"/>
        <w:ind w:left="1907" w:right="1120"/>
        <w:jc w:val="center"/>
        <w:rPr>
          <w:rFonts w:ascii="Times New Roman" w:hAnsi="Times New Roman" w:eastAsia="Times New Roman"/>
          <w:sz w:val="28"/>
          <w:szCs w:val="28"/>
        </w:rPr>
      </w:pPr>
      <w:r>
        <w:rPr>
          <w:rFonts w:ascii="Times New Roman" w:hAnsi="Times New Roman" w:eastAsia="Times New Roman"/>
          <w:sz w:val="28"/>
          <w:szCs w:val="28"/>
        </w:rPr>
        <w:t>МІНІСТЕРСТВО</w:t>
      </w:r>
      <w:r>
        <w:rPr>
          <w:rFonts w:ascii="Times New Roman" w:hAnsi="Times New Roman" w:eastAsia="Times New Roman"/>
          <w:spacing w:val="-4"/>
          <w:sz w:val="28"/>
          <w:szCs w:val="28"/>
        </w:rPr>
        <w:t xml:space="preserve"> </w:t>
      </w:r>
      <w:r>
        <w:rPr>
          <w:rFonts w:ascii="Times New Roman" w:hAnsi="Times New Roman" w:eastAsia="Times New Roman"/>
          <w:sz w:val="28"/>
          <w:szCs w:val="28"/>
        </w:rPr>
        <w:t>ОСВІТИ</w:t>
      </w:r>
      <w:r>
        <w:rPr>
          <w:rFonts w:ascii="Times New Roman" w:hAnsi="Times New Roman" w:eastAsia="Times New Roman"/>
          <w:spacing w:val="-4"/>
          <w:sz w:val="28"/>
          <w:szCs w:val="28"/>
        </w:rPr>
        <w:t xml:space="preserve"> </w:t>
      </w:r>
      <w:r>
        <w:rPr>
          <w:rFonts w:ascii="Times New Roman" w:hAnsi="Times New Roman" w:eastAsia="Times New Roman"/>
          <w:sz w:val="28"/>
          <w:szCs w:val="28"/>
        </w:rPr>
        <w:t>І</w:t>
      </w:r>
      <w:r>
        <w:rPr>
          <w:rFonts w:ascii="Times New Roman" w:hAnsi="Times New Roman" w:eastAsia="Times New Roman"/>
          <w:spacing w:val="-3"/>
          <w:sz w:val="28"/>
          <w:szCs w:val="28"/>
        </w:rPr>
        <w:t xml:space="preserve"> </w:t>
      </w:r>
      <w:r>
        <w:rPr>
          <w:rFonts w:ascii="Times New Roman" w:hAnsi="Times New Roman" w:eastAsia="Times New Roman"/>
          <w:sz w:val="28"/>
          <w:szCs w:val="28"/>
        </w:rPr>
        <w:t>НАУКИ</w:t>
      </w:r>
      <w:r>
        <w:rPr>
          <w:rFonts w:ascii="Times New Roman" w:hAnsi="Times New Roman" w:eastAsia="Times New Roman"/>
          <w:spacing w:val="-3"/>
          <w:sz w:val="28"/>
          <w:szCs w:val="28"/>
        </w:rPr>
        <w:t xml:space="preserve"> </w:t>
      </w:r>
      <w:r>
        <w:rPr>
          <w:rFonts w:ascii="Times New Roman" w:hAnsi="Times New Roman" w:eastAsia="Times New Roman"/>
          <w:sz w:val="28"/>
          <w:szCs w:val="28"/>
        </w:rPr>
        <w:t>УКРАЇНИ</w:t>
      </w:r>
    </w:p>
    <w:p>
      <w:pPr>
        <w:widowControl w:val="0"/>
        <w:suppressAutoHyphens/>
        <w:spacing w:before="5" w:after="0" w:line="240" w:lineRule="auto"/>
        <w:ind w:right="1120"/>
        <w:rPr>
          <w:rFonts w:ascii="Times New Roman" w:hAnsi="Times New Roman" w:eastAsia="Times New Roman"/>
          <w:sz w:val="24"/>
          <w:szCs w:val="28"/>
        </w:rPr>
      </w:pPr>
    </w:p>
    <w:p>
      <w:pPr>
        <w:widowControl w:val="0"/>
        <w:suppressAutoHyphens/>
        <w:spacing w:after="0" w:line="446" w:lineRule="auto"/>
        <w:ind w:left="1350" w:right="729"/>
        <w:jc w:val="center"/>
        <w:rPr>
          <w:rFonts w:ascii="Times New Roman" w:hAnsi="Times New Roman" w:eastAsia="Times New Roman"/>
          <w:spacing w:val="-68"/>
          <w:sz w:val="28"/>
          <w:szCs w:val="28"/>
        </w:rPr>
      </w:pPr>
      <w:r>
        <w:rPr>
          <w:rFonts w:ascii="Times New Roman" w:hAnsi="Times New Roman" w:eastAsia="Times New Roman"/>
          <w:sz w:val="28"/>
          <w:szCs w:val="28"/>
        </w:rPr>
        <w:t>Львівський національний університет імені Івана Франка</w:t>
      </w:r>
      <w:r>
        <w:rPr>
          <w:rFonts w:ascii="Times New Roman" w:hAnsi="Times New Roman" w:eastAsia="Times New Roman"/>
          <w:spacing w:val="-68"/>
          <w:sz w:val="28"/>
          <w:szCs w:val="28"/>
        </w:rPr>
        <w:t xml:space="preserve"> </w:t>
      </w:r>
    </w:p>
    <w:p>
      <w:pPr>
        <w:widowControl w:val="0"/>
        <w:suppressAutoHyphens/>
        <w:spacing w:after="0" w:line="446" w:lineRule="auto"/>
        <w:ind w:left="1907" w:right="1120"/>
        <w:jc w:val="center"/>
        <w:rPr>
          <w:rFonts w:ascii="Times New Roman" w:hAnsi="Times New Roman" w:eastAsia="Times New Roman"/>
          <w:sz w:val="28"/>
          <w:szCs w:val="28"/>
        </w:rPr>
      </w:pPr>
      <w:r>
        <w:rPr>
          <w:rFonts w:ascii="Times New Roman" w:hAnsi="Times New Roman" w:eastAsia="Times New Roman"/>
          <w:sz w:val="28"/>
          <w:szCs w:val="28"/>
        </w:rPr>
        <w:t>Механіко-математичний</w:t>
      </w:r>
      <w:r>
        <w:rPr>
          <w:rFonts w:ascii="Times New Roman" w:hAnsi="Times New Roman" w:eastAsia="Times New Roman"/>
          <w:spacing w:val="-1"/>
          <w:sz w:val="28"/>
          <w:szCs w:val="28"/>
        </w:rPr>
        <w:t xml:space="preserve"> </w:t>
      </w:r>
      <w:r>
        <w:rPr>
          <w:rFonts w:ascii="Times New Roman" w:hAnsi="Times New Roman" w:eastAsia="Times New Roman"/>
          <w:sz w:val="28"/>
          <w:szCs w:val="28"/>
        </w:rPr>
        <w:t>факультет</w:t>
      </w:r>
    </w:p>
    <w:p>
      <w:pPr>
        <w:widowControl w:val="0"/>
        <w:suppressAutoHyphens/>
        <w:spacing w:after="0" w:line="321" w:lineRule="exact"/>
        <w:ind w:left="1907" w:right="1120"/>
        <w:jc w:val="center"/>
        <w:rPr>
          <w:rFonts w:ascii="Times New Roman" w:hAnsi="Times New Roman" w:eastAsia="Times New Roman"/>
          <w:sz w:val="28"/>
          <w:szCs w:val="28"/>
        </w:rPr>
      </w:pPr>
      <w:r>
        <w:rPr>
          <w:rFonts w:ascii="Times New Roman" w:hAnsi="Times New Roman" w:eastAsia="Times New Roman"/>
          <w:sz w:val="28"/>
          <w:szCs w:val="28"/>
        </w:rPr>
        <w:t>Кафедра</w:t>
      </w:r>
      <w:r>
        <w:rPr>
          <w:rFonts w:ascii="Times New Roman" w:hAnsi="Times New Roman" w:eastAsia="Times New Roman"/>
          <w:spacing w:val="-4"/>
          <w:sz w:val="28"/>
          <w:szCs w:val="28"/>
        </w:rPr>
        <w:t xml:space="preserve"> </w:t>
      </w:r>
      <w:r>
        <w:rPr>
          <w:rFonts w:ascii="Times New Roman" w:hAnsi="Times New Roman" w:eastAsia="Times New Roman"/>
          <w:sz w:val="28"/>
          <w:szCs w:val="28"/>
        </w:rPr>
        <w:t>теорії функцій і функціонального аналізу</w:t>
      </w:r>
    </w:p>
    <w:p>
      <w:pPr>
        <w:widowControl w:val="0"/>
        <w:suppressAutoHyphens/>
        <w:spacing w:after="0" w:line="240" w:lineRule="auto"/>
        <w:rPr>
          <w:rFonts w:ascii="Times New Roman" w:hAnsi="Times New Roman" w:eastAsia="Times New Roman"/>
          <w:sz w:val="30"/>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ind w:left="5245"/>
        <w:jc w:val="center"/>
        <w:rPr>
          <w:rFonts w:ascii="Times New Roman" w:hAnsi="Times New Roman"/>
          <w:b/>
          <w:sz w:val="24"/>
          <w:szCs w:val="24"/>
        </w:rPr>
      </w:pPr>
      <w:r>
        <w:rPr>
          <w:rFonts w:ascii="Times New Roman" w:hAnsi="Times New Roman"/>
          <w:b/>
          <w:sz w:val="24"/>
          <w:szCs w:val="24"/>
        </w:rPr>
        <w:t>Затверджено</w:t>
      </w:r>
    </w:p>
    <w:p>
      <w:pPr>
        <w:spacing w:after="0"/>
        <w:ind w:left="5245"/>
        <w:jc w:val="both"/>
        <w:rPr>
          <w:rFonts w:ascii="Times New Roman" w:hAnsi="Times New Roman"/>
          <w:sz w:val="24"/>
          <w:szCs w:val="24"/>
        </w:rPr>
      </w:pPr>
      <w:r>
        <w:rPr>
          <w:rFonts w:ascii="Times New Roman" w:hAnsi="Times New Roman"/>
          <w:sz w:val="24"/>
          <w:szCs w:val="24"/>
        </w:rPr>
        <w:t xml:space="preserve">На засіданні кафедри теорії функцій і </w:t>
      </w:r>
    </w:p>
    <w:p>
      <w:pPr>
        <w:spacing w:after="0"/>
        <w:ind w:left="5245"/>
        <w:jc w:val="both"/>
        <w:rPr>
          <w:rFonts w:ascii="Times New Roman" w:hAnsi="Times New Roman"/>
          <w:sz w:val="24"/>
          <w:szCs w:val="24"/>
        </w:rPr>
      </w:pPr>
      <w:r>
        <w:rPr>
          <w:rFonts w:ascii="Times New Roman" w:hAnsi="Times New Roman"/>
          <w:sz w:val="24"/>
          <w:szCs w:val="24"/>
        </w:rPr>
        <w:t>функціонального аналізу</w:t>
      </w:r>
    </w:p>
    <w:p>
      <w:pPr>
        <w:spacing w:after="0"/>
        <w:ind w:left="5245"/>
        <w:jc w:val="both"/>
        <w:rPr>
          <w:rFonts w:ascii="Times New Roman" w:hAnsi="Times New Roman"/>
          <w:sz w:val="24"/>
          <w:szCs w:val="24"/>
        </w:rPr>
      </w:pPr>
      <w:r>
        <w:rPr>
          <w:rFonts w:ascii="Times New Roman" w:hAnsi="Times New Roman"/>
          <w:sz w:val="24"/>
          <w:szCs w:val="24"/>
        </w:rPr>
        <w:t xml:space="preserve">механіко-математичного факультету </w:t>
      </w:r>
    </w:p>
    <w:p>
      <w:pPr>
        <w:spacing w:after="0"/>
        <w:ind w:left="5245"/>
        <w:jc w:val="both"/>
        <w:rPr>
          <w:rFonts w:ascii="Times New Roman" w:hAnsi="Times New Roman"/>
          <w:sz w:val="24"/>
          <w:szCs w:val="24"/>
        </w:rPr>
      </w:pPr>
      <w:r>
        <w:rPr>
          <w:rFonts w:ascii="Times New Roman" w:hAnsi="Times New Roman"/>
          <w:sz w:val="24"/>
          <w:szCs w:val="24"/>
        </w:rPr>
        <w:t>Львівського національного університету імені Івана Франка</w:t>
      </w:r>
    </w:p>
    <w:p>
      <w:pPr>
        <w:spacing w:after="0"/>
        <w:ind w:left="5245"/>
        <w:jc w:val="both"/>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lang w:val="en-US"/>
        </w:rPr>
        <w:t>1</w:t>
      </w:r>
      <w:r>
        <w:rPr>
          <w:rFonts w:ascii="Times New Roman" w:hAnsi="Times New Roman"/>
          <w:sz w:val="24"/>
          <w:szCs w:val="24"/>
        </w:rPr>
        <w:t xml:space="preserve"> від 25 серпня 202</w:t>
      </w:r>
      <w:r>
        <w:rPr>
          <w:rFonts w:ascii="Times New Roman" w:hAnsi="Times New Roman"/>
          <w:sz w:val="24"/>
          <w:szCs w:val="24"/>
          <w:lang w:val="pl-PL"/>
        </w:rPr>
        <w:t>2</w:t>
      </w:r>
      <w:r>
        <w:rPr>
          <w:rFonts w:ascii="Times New Roman" w:hAnsi="Times New Roman"/>
          <w:sz w:val="24"/>
          <w:szCs w:val="24"/>
        </w:rPr>
        <w:t xml:space="preserve"> р.)</w:t>
      </w:r>
    </w:p>
    <w:p>
      <w:pPr>
        <w:spacing w:after="0"/>
        <w:ind w:left="5245"/>
        <w:rPr>
          <w:rFonts w:ascii="Times New Roman" w:hAnsi="Times New Roman"/>
          <w:sz w:val="24"/>
          <w:szCs w:val="24"/>
        </w:rPr>
      </w:pPr>
    </w:p>
    <w:p>
      <w:pPr>
        <w:spacing w:after="0"/>
        <w:ind w:left="5245"/>
        <w:rPr>
          <w:rFonts w:ascii="Times New Roman" w:hAnsi="Times New Roman"/>
          <w:sz w:val="24"/>
          <w:szCs w:val="24"/>
        </w:rPr>
      </w:pPr>
      <w:bookmarkStart w:id="1" w:name="_GoBack"/>
      <w:r>
        <w:drawing>
          <wp:anchor distT="0" distB="0" distL="114300" distR="114300" simplePos="0" relativeHeight="251659264" behindDoc="1" locked="0" layoutInCell="1" allowOverlap="1">
            <wp:simplePos x="0" y="0"/>
            <wp:positionH relativeFrom="column">
              <wp:posOffset>2308225</wp:posOffset>
            </wp:positionH>
            <wp:positionV relativeFrom="paragraph">
              <wp:posOffset>15240</wp:posOffset>
            </wp:positionV>
            <wp:extent cx="1471295" cy="1431290"/>
            <wp:effectExtent l="0" t="0" r="1460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1471295" cy="1431290"/>
                    </a:xfrm>
                    <a:prstGeom prst="rect">
                      <a:avLst/>
                    </a:prstGeom>
                    <a:noFill/>
                    <a:ln>
                      <a:noFill/>
                    </a:ln>
                  </pic:spPr>
                </pic:pic>
              </a:graphicData>
            </a:graphic>
          </wp:anchor>
        </w:drawing>
      </w:r>
      <w:bookmarkEnd w:id="1"/>
    </w:p>
    <w:p>
      <w:pPr>
        <w:spacing w:after="0"/>
        <w:ind w:left="5245"/>
        <w:rPr>
          <w:rFonts w:ascii="Times New Roman" w:hAnsi="Times New Roman"/>
          <w:sz w:val="24"/>
          <w:szCs w:val="24"/>
        </w:rPr>
      </w:pPr>
      <w:r>
        <w:rPr>
          <w:rFonts w:ascii="Times New Roman" w:hAnsi="Times New Roman"/>
          <w:sz w:val="24"/>
          <w:szCs w:val="24"/>
        </w:rPr>
        <w:t>Завідувач кафедри проф. Скасків О. Б.</w:t>
      </w:r>
    </w:p>
    <w:p>
      <w:pPr>
        <w:spacing w:after="0"/>
        <w:ind w:left="5245"/>
        <w:rPr>
          <w:rFonts w:ascii="Times New Roman" w:hAnsi="Times New Roman"/>
          <w:sz w:val="24"/>
          <w:szCs w:val="24"/>
        </w:rPr>
      </w:pPr>
      <w:r>
        <w:rPr>
          <w:rFonts w:ascii="Times New Roman" w:hAnsi="Times New Roman"/>
          <w:sz w:val="24"/>
          <w:szCs w:val="24"/>
        </w:rPr>
        <w:t>______</w:t>
      </w:r>
      <w:r>
        <w:rPr>
          <w:u w:val="single"/>
        </w:rPr>
        <w:drawing>
          <wp:inline distT="0" distB="0" distL="114300" distR="114300">
            <wp:extent cx="528320" cy="383540"/>
            <wp:effectExtent l="0" t="0" r="508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528320" cy="383540"/>
                    </a:xfrm>
                    <a:prstGeom prst="rect">
                      <a:avLst/>
                    </a:prstGeom>
                    <a:noFill/>
                    <a:ln>
                      <a:noFill/>
                    </a:ln>
                  </pic:spPr>
                </pic:pic>
              </a:graphicData>
            </a:graphic>
          </wp:inline>
        </w:drawing>
      </w:r>
      <w:r>
        <w:rPr>
          <w:rFonts w:ascii="Times New Roman" w:hAnsi="Times New Roman"/>
          <w:sz w:val="24"/>
          <w:szCs w:val="24"/>
        </w:rPr>
        <w:t xml:space="preserve">______________ </w:t>
      </w: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Силабус з навчальної дисципліни </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lang w:val="ru-RU"/>
        </w:rPr>
        <w:t>“</w:t>
      </w:r>
      <w:r>
        <w:rPr>
          <w:rFonts w:ascii="Times New Roman" w:hAnsi="Times New Roman"/>
          <w:bCs/>
          <w:color w:val="000000"/>
          <w:sz w:val="28"/>
          <w:szCs w:val="28"/>
        </w:rPr>
        <w:t>Методика викладання показникової і логарифмічної функції в школі</w:t>
      </w:r>
      <w:r>
        <w:rPr>
          <w:rFonts w:ascii="Times New Roman" w:hAnsi="Times New Roman"/>
          <w:bCs/>
          <w:color w:val="000000"/>
          <w:sz w:val="28"/>
          <w:szCs w:val="28"/>
          <w:lang w:val="ru-RU"/>
        </w:rPr>
        <w:t>”</w:t>
      </w:r>
      <w:r>
        <w:rPr>
          <w:rFonts w:ascii="Times New Roman" w:hAnsi="Times New Roman"/>
          <w:bCs/>
          <w:color w:val="000000"/>
          <w:sz w:val="28"/>
          <w:szCs w:val="28"/>
        </w:rPr>
        <w:t>,</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що викладається в межах ОПП “Середня освіта (Математика)”</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другого (магістерського) рівня вищої освіти </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для здобувачів з спеціальності 014.04 Середня освіта (Математика) </w:t>
      </w:r>
    </w:p>
    <w:p>
      <w:pPr>
        <w:spacing w:after="0" w:line="36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Cs/>
          <w:sz w:val="28"/>
          <w:szCs w:val="28"/>
        </w:rPr>
      </w:pPr>
      <w:r>
        <w:rPr>
          <w:rFonts w:ascii="Times New Roman" w:hAnsi="Times New Roman"/>
          <w:bCs/>
          <w:sz w:val="28"/>
          <w:szCs w:val="28"/>
        </w:rPr>
        <w:t>Львів 2022 р.</w:t>
      </w:r>
    </w:p>
    <w:p>
      <w:pPr>
        <w:spacing w:after="0" w:line="240" w:lineRule="auto"/>
        <w:rPr>
          <w:rFonts w:ascii="Times New Roman" w:hAnsi="Times New Roman"/>
          <w:b/>
          <w:sz w:val="24"/>
          <w:szCs w:val="24"/>
        </w:rPr>
      </w:pPr>
      <w:r>
        <w:rPr>
          <w:rFonts w:ascii="Times New Roman" w:hAnsi="Times New Roman"/>
          <w:b/>
          <w:sz w:val="24"/>
          <w:szCs w:val="24"/>
        </w:rPr>
        <w:br w:type="page"/>
      </w:r>
    </w:p>
    <w:tbl>
      <w:tblPr>
        <w:tblStyle w:val="3"/>
        <w:tblW w:w="9715" w:type="dxa"/>
        <w:tblInd w:w="0" w:type="dxa"/>
        <w:tblLayout w:type="fixed"/>
        <w:tblCellMar>
          <w:top w:w="0" w:type="dxa"/>
          <w:left w:w="108" w:type="dxa"/>
          <w:bottom w:w="0" w:type="dxa"/>
          <w:right w:w="108" w:type="dxa"/>
        </w:tblCellMar>
      </w:tblPr>
      <w:tblGrid>
        <w:gridCol w:w="2515"/>
        <w:gridCol w:w="7200"/>
      </w:tblGrid>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Назва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Методика викладання показникової і логарифмічної функції в школі</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Адреса викладання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Головний корпус ЛНУ ім. І. Франка</w:t>
            </w:r>
          </w:p>
          <w:p>
            <w:pPr>
              <w:spacing w:after="0" w:line="240" w:lineRule="auto"/>
              <w:jc w:val="both"/>
              <w:rPr>
                <w:rFonts w:ascii="Times New Roman" w:hAnsi="Times New Roman"/>
                <w:sz w:val="24"/>
                <w:szCs w:val="24"/>
              </w:rPr>
            </w:pPr>
            <w:r>
              <w:rPr>
                <w:rFonts w:ascii="Times New Roman" w:hAnsi="Times New Roman"/>
                <w:sz w:val="24"/>
                <w:szCs w:val="24"/>
              </w:rPr>
              <w:t>м. Львів, вул. Університетська 1</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lang w:eastAsia="uk-UA"/>
              </w:rPr>
              <w:t>Факультет та кафедра, за якою закріплена дисципліна</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Механіко-математичний факультет </w:t>
            </w:r>
          </w:p>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Кафедра теорії функцій і функціонального аналізу </w:t>
            </w:r>
          </w:p>
        </w:tc>
      </w:tr>
      <w:tr>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lang w:eastAsia="uk-UA"/>
              </w:rPr>
              <w:t>Галузь знань, шифр та назва спеціальності</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1</w:t>
            </w:r>
            <w:r>
              <w:rPr>
                <w:rFonts w:ascii="Times New Roman" w:hAnsi="Times New Roman"/>
                <w:sz w:val="24"/>
                <w:szCs w:val="24"/>
              </w:rPr>
              <w:t xml:space="preserve"> Освіта/педагогіка</w:t>
            </w:r>
          </w:p>
          <w:p>
            <w:pPr>
              <w:spacing w:after="0" w:line="240" w:lineRule="auto"/>
              <w:jc w:val="both"/>
              <w:rPr>
                <w:rFonts w:ascii="Times New Roman" w:hAnsi="Times New Roman"/>
                <w:sz w:val="24"/>
                <w:szCs w:val="24"/>
              </w:rPr>
            </w:pPr>
            <w:r>
              <w:rPr>
                <w:rFonts w:ascii="Times New Roman" w:hAnsi="Times New Roman"/>
                <w:sz w:val="24"/>
                <w:szCs w:val="24"/>
              </w:rPr>
              <w:t>014.04 – Середня освіта (Математика)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lang w:eastAsia="uk-UA"/>
              </w:rPr>
            </w:pPr>
            <w:r>
              <w:rPr>
                <w:rFonts w:ascii="Times New Roman" w:hAnsi="Times New Roman"/>
                <w:b/>
                <w:sz w:val="24"/>
                <w:szCs w:val="24"/>
              </w:rPr>
              <w:t>Викладачі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Притула Ярослав Григорович, доцент кафедри теорії функцій і функціонального аналізу</w:t>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lang w:eastAsia="uk-UA"/>
              </w:rPr>
            </w:pPr>
            <w:r>
              <w:rPr>
                <w:rFonts w:ascii="Times New Roman" w:hAnsi="Times New Roman"/>
                <w:b/>
                <w:sz w:val="24"/>
                <w:szCs w:val="24"/>
              </w:rPr>
              <w:t>Контактна інформація викладачів</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shd w:val="clear" w:color="auto" w:fill="FAFAFA"/>
              </w:rPr>
              <w:t>yaroslav.prytula@lnu.edu.ua</w:t>
            </w:r>
          </w:p>
          <w:p>
            <w:pPr>
              <w:spacing w:after="0" w:line="240" w:lineRule="auto"/>
              <w:jc w:val="both"/>
              <w:rPr>
                <w:rFonts w:ascii="Times New Roman" w:hAnsi="Times New Roman"/>
                <w:sz w:val="24"/>
                <w:szCs w:val="24"/>
              </w:rPr>
            </w:pPr>
            <w:r>
              <w:fldChar w:fldCharType="begin"/>
            </w:r>
            <w:r>
              <w:instrText xml:space="preserve"> HYPERLINK "https://new.mmf.lnu.edu.ua/employee/prytula-ya-h" </w:instrText>
            </w:r>
            <w:r>
              <w:fldChar w:fldCharType="separate"/>
            </w:r>
            <w:r>
              <w:rPr>
                <w:rStyle w:val="5"/>
                <w:rFonts w:ascii="Times New Roman" w:hAnsi="Times New Roman"/>
                <w:sz w:val="24"/>
                <w:szCs w:val="24"/>
              </w:rPr>
              <w:t>https://new.mmf.lnu.edu.ua/employee/prytula-ya-h</w:t>
            </w:r>
            <w:r>
              <w:rPr>
                <w:rStyle w:val="5"/>
                <w:rFonts w:ascii="Times New Roman" w:hAnsi="Times New Roman"/>
                <w:sz w:val="24"/>
                <w:szCs w:val="24"/>
              </w:rPr>
              <w:fldChar w:fldCharType="end"/>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м. Львів, вул. Університетська, 1, к. 373.</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Консультації з питань навчання по дисципліні відбуваються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Консультації в день проведення лекцій/практичних занять (за попередньою домовленістю) за адресою: м. Львів, вул. Університетська 1, ауд.374. Також можливі он-лайн консультації на платформі ZOOM. Для погодження часу консультацій слід писати на електронну пошту викладача.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Сторінка дисципліни </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rPr>
            </w:pPr>
            <w:r>
              <w:fldChar w:fldCharType="begin"/>
            </w:r>
            <w:r>
              <w:instrText xml:space="preserve"> HYPERLINK "https://new.mmf.lnu.edu.ua/course/metodyka-vykladannia-pokaznykovoi-ta-loharyfmichnoi-funktsiy" </w:instrText>
            </w:r>
            <w:r>
              <w:fldChar w:fldCharType="separate"/>
            </w:r>
            <w:r>
              <w:rPr>
                <w:rStyle w:val="5"/>
                <w:rFonts w:ascii="Times New Roman" w:hAnsi="Times New Roman"/>
              </w:rPr>
              <w:t>https://new.mmf.lnu.edu.ua/course/metodyka-vykladannia-pokaznykovoi-ta-loharyfmichnoi-funktsiy</w:t>
            </w:r>
            <w:r>
              <w:rPr>
                <w:rStyle w:val="5"/>
                <w:rFonts w:ascii="Times New Roman" w:hAnsi="Times New Roman"/>
              </w:rPr>
              <w:fldChar w:fldCharType="end"/>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Інформація про дисципліну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Дисципліна “</w:t>
            </w:r>
            <w:r>
              <w:t xml:space="preserve"> </w:t>
            </w:r>
            <w:r>
              <w:rPr>
                <w:rFonts w:ascii="Times New Roman" w:hAnsi="Times New Roman"/>
                <w:sz w:val="24"/>
                <w:szCs w:val="24"/>
              </w:rPr>
              <w:t>Методика викладання показникової і логарифмічної функції в школі” є вибірковою навчальною дисципліною</w:t>
            </w:r>
            <w:r>
              <w:t xml:space="preserve"> </w:t>
            </w:r>
            <w:r>
              <w:rPr>
                <w:rFonts w:ascii="Times New Roman" w:hAnsi="Times New Roman"/>
                <w:sz w:val="24"/>
                <w:szCs w:val="24"/>
              </w:rPr>
              <w:t>циклу професійної та практичної підготовки зі спеціальності 014.04 Середня освіта (Математика) для освітньої програми “Середня освіта (Математика)”, яка викладається в 3-му семестрі в обсязі 2ох кредитів (за Європейською Кредитно-Трансферною Системою ECTS).</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Коротка анотація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Опираючись на шкільні підходи до поняття дійсних чисел, розглядається послідовність розширення поняття показникової функції  для натуральних, цілих, раціональних та ірраціональних показників. Розглянуто властивості цієї функції. Введено поняття логарифмічної функції як оберненої до показникової і доведено її властивості.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Мета та цілі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Метою курсу є формування логічного підходу до розширення поняття показникової функції на основі поняття дійсних чисел, вміння зрозуміло подати властивості показникової функції і пов’язати це з її означенням і отримати властивості логарифмічної функції.</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bCs/>
                <w:sz w:val="24"/>
                <w:szCs w:val="24"/>
                <w:lang w:eastAsia="uk-UA"/>
              </w:rPr>
              <w:t>Література для вивчення дисципліни</w:t>
            </w:r>
          </w:p>
        </w:tc>
        <w:tc>
          <w:tcPr>
            <w:tcW w:w="7200" w:type="dxa"/>
            <w:tcBorders>
              <w:top w:val="single" w:color="000000" w:sz="4" w:space="0"/>
              <w:left w:val="single" w:color="000000" w:sz="4" w:space="0"/>
              <w:bottom w:val="single" w:color="000000" w:sz="4" w:space="0"/>
              <w:right w:val="single" w:color="000000" w:sz="4" w:space="0"/>
            </w:tcBorders>
          </w:tcPr>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rPr>
              <w:t xml:space="preserve"> </w:t>
            </w:r>
            <w:r>
              <w:rPr>
                <w:rFonts w:ascii="Times New Roman" w:hAnsi="Times New Roman"/>
                <w:sz w:val="24"/>
                <w:szCs w:val="24"/>
                <w:lang w:val="ru-RU" w:eastAsia="uk-UA"/>
              </w:rPr>
              <w:t>Бевз Г.П. Моя методика математики – Тернопіль: Навчальна книга Богдан, 2021. – 584 с.</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Бевз Г.П. Методика викладання математики: Навч. посібник. – К., 1989. – 367 с.</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Слєпкань З. І. Методика навчання математики: Підручник. – К.: Вища школа 2006. – 582 с.</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Мерзляк А.Г., Номіровський Д.А., Полонський В.Б., Якір М.С. Математика: Алгебра і початки аналізу та геометрія: підр. для 11 кл. (рівень стандарту) – Харків, "Гімназія", 2019.</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Мерзляк А.Г., Номіровський Д.А., Полонський В.Б., Якір М.С. Алгебра і початки аналізу підручник для 11 класу (профільний рівень) – Харків, "Гімназія", 2019.</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Істер О. Математика: Алгебра і початки аналізу та геометрія: підр. для 11 кл. (рівень стандарту) – Київ, "Генеза", 2019.</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Істер О., Єргіна О. Алгебра і початки аналізу підручник для 11 класу (профільний рівень) – Київ, "Генеза", 2019.</w:t>
            </w:r>
          </w:p>
          <w:p>
            <w:pPr>
              <w:shd w:val="clear" w:color="auto" w:fill="FFFFFF"/>
              <w:spacing w:after="0" w:line="240" w:lineRule="auto"/>
              <w:ind w:left="360"/>
              <w:jc w:val="both"/>
              <w:textAlignment w:val="baseline"/>
              <w:rPr>
                <w:rFonts w:ascii="Times New Roman" w:hAnsi="Times New Roman"/>
                <w:sz w:val="24"/>
                <w:szCs w:val="24"/>
                <w:lang w:val="ru-RU" w:eastAsia="uk-UA"/>
              </w:rPr>
            </w:pPr>
            <w:r>
              <w:rPr>
                <w:rFonts w:ascii="Times New Roman" w:hAnsi="Times New Roman"/>
                <w:sz w:val="24"/>
                <w:szCs w:val="24"/>
                <w:lang w:val="ru-RU"/>
              </w:rPr>
              <w:t xml:space="preserve">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Обсяг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val="en-US"/>
              </w:rPr>
            </w:pPr>
            <w:r>
              <w:rPr>
                <w:rFonts w:ascii="Times New Roman" w:hAnsi="Times New Roman"/>
                <w:sz w:val="24"/>
                <w:szCs w:val="24"/>
              </w:rPr>
              <w:t xml:space="preserve">Загальний обсяг: 60 годин. Аудиторних занять: 10 год., з них 6 годин лекцій та 4 години практичних робіт. Самостійна робота: 50 год.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Очікувані результати навчання</w:t>
            </w:r>
          </w:p>
        </w:tc>
        <w:tc>
          <w:tcPr>
            <w:tcW w:w="7200" w:type="dxa"/>
            <w:tcBorders>
              <w:top w:val="single" w:color="000000" w:sz="4" w:space="0"/>
              <w:left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Після завершення цього курсу студент буде: </w:t>
            </w:r>
          </w:p>
          <w:p>
            <w:pPr>
              <w:spacing w:after="0" w:line="240" w:lineRule="auto"/>
              <w:jc w:val="both"/>
              <w:rPr>
                <w:rFonts w:ascii="Times New Roman" w:hAnsi="Times New Roman"/>
                <w:sz w:val="24"/>
                <w:szCs w:val="24"/>
              </w:rPr>
            </w:pPr>
            <w:r>
              <w:rPr>
                <w:rFonts w:ascii="Times New Roman" w:hAnsi="Times New Roman"/>
                <w:sz w:val="24"/>
                <w:szCs w:val="24"/>
              </w:rPr>
              <w:t>Знати:</w:t>
            </w:r>
          </w:p>
          <w:p>
            <w:pPr>
              <w:spacing w:after="0" w:line="240" w:lineRule="auto"/>
              <w:jc w:val="both"/>
              <w:rPr>
                <w:rFonts w:ascii="Times New Roman" w:hAnsi="Times New Roman"/>
                <w:sz w:val="24"/>
                <w:szCs w:val="24"/>
              </w:rPr>
            </w:pPr>
            <w:r>
              <w:rPr>
                <w:rFonts w:ascii="Times New Roman" w:hAnsi="Times New Roman"/>
                <w:sz w:val="24"/>
                <w:szCs w:val="24"/>
              </w:rPr>
              <w:t>- спосіб означення показникової функції для натуральних, цілих, раціональних та ірраціональних чисел;</w:t>
            </w:r>
          </w:p>
          <w:p>
            <w:pPr>
              <w:spacing w:after="0" w:line="240" w:lineRule="auto"/>
              <w:jc w:val="both"/>
              <w:rPr>
                <w:rFonts w:ascii="Times New Roman" w:hAnsi="Times New Roman"/>
                <w:sz w:val="24"/>
                <w:szCs w:val="24"/>
              </w:rPr>
            </w:pPr>
            <w:r>
              <w:rPr>
                <w:rFonts w:ascii="Times New Roman" w:hAnsi="Times New Roman"/>
                <w:sz w:val="24"/>
                <w:szCs w:val="24"/>
              </w:rPr>
              <w:t>- доведення властивостей показникової функції;</w:t>
            </w:r>
          </w:p>
          <w:p>
            <w:pPr>
              <w:spacing w:after="0" w:line="240" w:lineRule="auto"/>
              <w:jc w:val="both"/>
              <w:rPr>
                <w:rFonts w:ascii="Times New Roman" w:hAnsi="Times New Roman"/>
                <w:sz w:val="24"/>
                <w:szCs w:val="24"/>
              </w:rPr>
            </w:pPr>
            <w:r>
              <w:rPr>
                <w:rFonts w:ascii="Times New Roman" w:hAnsi="Times New Roman"/>
                <w:sz w:val="24"/>
                <w:szCs w:val="24"/>
              </w:rPr>
              <w:t>- методи означення логарифмічної функції та доведення її властивостей;</w:t>
            </w:r>
          </w:p>
          <w:p>
            <w:pPr>
              <w:spacing w:after="0" w:line="240" w:lineRule="auto"/>
              <w:jc w:val="both"/>
              <w:rPr>
                <w:rFonts w:ascii="Times New Roman" w:hAnsi="Times New Roman"/>
                <w:sz w:val="24"/>
                <w:szCs w:val="24"/>
              </w:rPr>
            </w:pPr>
            <w:r>
              <w:rPr>
                <w:rFonts w:ascii="Times New Roman" w:hAnsi="Times New Roman"/>
                <w:sz w:val="24"/>
                <w:szCs w:val="24"/>
              </w:rPr>
              <w:t>- методи розв’язування показникових та логарифмічних рівнянь та нерівностей.</w:t>
            </w:r>
          </w:p>
          <w:p>
            <w:pPr>
              <w:spacing w:after="0" w:line="240" w:lineRule="auto"/>
              <w:jc w:val="both"/>
              <w:rPr>
                <w:rFonts w:ascii="Times New Roman" w:hAnsi="Times New Roman"/>
                <w:sz w:val="24"/>
                <w:szCs w:val="24"/>
              </w:rPr>
            </w:pPr>
            <w:r>
              <w:rPr>
                <w:rFonts w:ascii="Times New Roman" w:hAnsi="Times New Roman"/>
                <w:sz w:val="24"/>
                <w:szCs w:val="24"/>
              </w:rPr>
              <w:t>Вміти:</w:t>
            </w:r>
          </w:p>
          <w:p>
            <w:pPr>
              <w:spacing w:after="0" w:line="240" w:lineRule="auto"/>
              <w:jc w:val="both"/>
              <w:rPr>
                <w:rFonts w:ascii="Times New Roman" w:hAnsi="Times New Roman"/>
                <w:sz w:val="24"/>
                <w:szCs w:val="24"/>
              </w:rPr>
            </w:pPr>
            <w:r>
              <w:rPr>
                <w:rFonts w:ascii="Times New Roman" w:hAnsi="Times New Roman"/>
                <w:sz w:val="24"/>
                <w:szCs w:val="24"/>
              </w:rPr>
              <w:t>- обгрунтовувати способи означення показникової функції для різних класів дійсних чисел;</w:t>
            </w:r>
          </w:p>
          <w:p>
            <w:pPr>
              <w:spacing w:after="0" w:line="240" w:lineRule="auto"/>
              <w:jc w:val="both"/>
              <w:rPr>
                <w:rFonts w:ascii="Times New Roman" w:hAnsi="Times New Roman"/>
                <w:sz w:val="24"/>
                <w:szCs w:val="24"/>
              </w:rPr>
            </w:pPr>
            <w:r>
              <w:rPr>
                <w:rFonts w:ascii="Times New Roman" w:hAnsi="Times New Roman"/>
                <w:sz w:val="24"/>
                <w:szCs w:val="24"/>
              </w:rPr>
              <w:t>- доводити властивості показникової та логарифмічної функції;</w:t>
            </w:r>
          </w:p>
          <w:p>
            <w:pPr>
              <w:spacing w:after="0" w:line="240" w:lineRule="auto"/>
              <w:jc w:val="both"/>
              <w:rPr>
                <w:rFonts w:ascii="Times New Roman" w:hAnsi="Times New Roman"/>
                <w:sz w:val="24"/>
                <w:szCs w:val="24"/>
              </w:rPr>
            </w:pPr>
            <w:r>
              <w:rPr>
                <w:rFonts w:ascii="Times New Roman" w:hAnsi="Times New Roman"/>
                <w:sz w:val="24"/>
                <w:szCs w:val="24"/>
              </w:rPr>
              <w:t>- будувати графіки показникової та логарифмічної функцій;</w:t>
            </w:r>
          </w:p>
          <w:p>
            <w:pPr>
              <w:spacing w:after="0" w:line="240" w:lineRule="auto"/>
              <w:jc w:val="both"/>
              <w:rPr>
                <w:rFonts w:ascii="Times New Roman" w:hAnsi="Times New Roman"/>
                <w:sz w:val="24"/>
                <w:szCs w:val="24"/>
              </w:rPr>
            </w:pPr>
            <w:r>
              <w:rPr>
                <w:rFonts w:ascii="Times New Roman" w:hAnsi="Times New Roman"/>
                <w:sz w:val="24"/>
                <w:szCs w:val="24"/>
              </w:rPr>
              <w:t>- розв’язувати показникові та логарифмічні рівняння та нерівності.</w:t>
            </w:r>
          </w:p>
          <w:p>
            <w:pPr>
              <w:spacing w:after="0" w:line="240" w:lineRule="auto"/>
              <w:ind w:left="584"/>
              <w:jc w:val="both"/>
              <w:rPr>
                <w:rFonts w:ascii="Times New Roman" w:hAnsi="Times New Roman"/>
                <w:sz w:val="24"/>
                <w:szCs w:val="24"/>
              </w:rPr>
            </w:pPr>
            <w:r>
              <w:rPr>
                <w:rFonts w:ascii="Times New Roman" w:hAnsi="Times New Roman"/>
                <w:sz w:val="24"/>
                <w:szCs w:val="24"/>
              </w:rPr>
              <w:t xml:space="preserve">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Ключові слова</w:t>
            </w:r>
          </w:p>
        </w:tc>
        <w:tc>
          <w:tcPr>
            <w:tcW w:w="7200" w:type="dxa"/>
            <w:tcBorders>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Показникова та логарифмічна функції, раціональні та ірраціональні числа, дійсні числа, графік функції, обернена функція, степінь числа.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Формат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Очний, дистанційний </w:t>
            </w:r>
          </w:p>
          <w:p>
            <w:pPr>
              <w:spacing w:after="0" w:line="240" w:lineRule="auto"/>
              <w:jc w:val="both"/>
              <w:rPr>
                <w:rFonts w:ascii="Times New Roman" w:hAnsi="Times New Roman"/>
                <w:sz w:val="24"/>
                <w:szCs w:val="24"/>
              </w:rPr>
            </w:pPr>
            <w:r>
              <w:rPr>
                <w:rFonts w:ascii="Times New Roman" w:hAnsi="Times New Roman"/>
                <w:sz w:val="24"/>
                <w:szCs w:val="24"/>
              </w:rPr>
              <w:t>Проведення лекцій, практичних робіт і консультацій.</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Теми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Перелік тем подано в додатку у формі схеми курсу.</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Підсумковий контроль, форма</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Залік у формі контрольної роботи у кінці семестру.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Пререквізити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Знання шкільного курсу математики, знання курсу математичного аналізу і алгебри.</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Навчальні методи та техніки, які будуть використовуватися під час викладання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Лекції, практичні заняття з розв’язування задач</w:t>
            </w:r>
          </w:p>
          <w:p>
            <w:pPr>
              <w:spacing w:after="0" w:line="240" w:lineRule="auto"/>
              <w:jc w:val="both"/>
              <w:rPr>
                <w:rFonts w:ascii="Times New Roman" w:hAnsi="Times New Roman"/>
                <w:sz w:val="24"/>
                <w:szCs w:val="24"/>
              </w:rPr>
            </w:pPr>
            <w:r>
              <w:rPr>
                <w:rFonts w:ascii="Times New Roman" w:hAnsi="Times New Roman"/>
                <w:sz w:val="24"/>
                <w:szCs w:val="24"/>
              </w:rPr>
              <w:t>Індивідуальні завдання</w:t>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Необхідне об</w:t>
            </w:r>
            <w:r>
              <w:rPr>
                <w:rFonts w:ascii="Times New Roman" w:hAnsi="Times New Roman"/>
                <w:b/>
                <w:sz w:val="24"/>
                <w:szCs w:val="24"/>
              </w:rPr>
              <w:softHyphen/>
            </w:r>
            <w:r>
              <w:rPr>
                <w:rFonts w:ascii="Times New Roman" w:hAnsi="Times New Roman"/>
                <w:b/>
                <w:sz w:val="24"/>
                <w:szCs w:val="24"/>
              </w:rPr>
              <w:t>ладнання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Аудиторія обладнана дошкою та засобами написання для аудиторних занять.</w:t>
            </w:r>
          </w:p>
          <w:p>
            <w:pPr>
              <w:spacing w:after="0" w:line="240" w:lineRule="auto"/>
              <w:jc w:val="both"/>
              <w:rPr>
                <w:rFonts w:ascii="Times New Roman" w:hAnsi="Times New Roman"/>
                <w:sz w:val="24"/>
                <w:szCs w:val="24"/>
              </w:rPr>
            </w:pPr>
            <w:r>
              <w:rPr>
                <w:rFonts w:ascii="Times New Roman" w:hAnsi="Times New Roman"/>
                <w:sz w:val="24"/>
                <w:szCs w:val="24"/>
              </w:rPr>
              <w:t xml:space="preserve">Комп’ютер/ планшет/ смартфон із загально вживаним програмним забезпеченням, доступ до </w:t>
            </w:r>
            <w:r>
              <w:rPr>
                <w:rFonts w:ascii="Times New Roman" w:hAnsi="Times New Roman"/>
                <w:sz w:val="24"/>
                <w:szCs w:val="24"/>
                <w:lang w:val="en-US"/>
              </w:rPr>
              <w:t>Internet</w:t>
            </w:r>
            <w:r>
              <w:rPr>
                <w:rFonts w:ascii="Times New Roman" w:hAnsi="Times New Roman"/>
                <w:sz w:val="24"/>
                <w:szCs w:val="24"/>
              </w:rPr>
              <w:t xml:space="preserve"> мережі, Zoom.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Критерії оці</w:t>
            </w:r>
            <w:r>
              <w:rPr>
                <w:rFonts w:ascii="Times New Roman" w:hAnsi="Times New Roman"/>
                <w:b/>
                <w:sz w:val="24"/>
                <w:szCs w:val="24"/>
              </w:rPr>
              <w:softHyphen/>
            </w:r>
            <w:r>
              <w:rPr>
                <w:rFonts w:ascii="Times New Roman" w:hAnsi="Times New Roman"/>
                <w:b/>
                <w:sz w:val="24"/>
                <w:szCs w:val="24"/>
              </w:rPr>
              <w:t>нювання (окремо для кожного виду навчальної діяль</w:t>
            </w:r>
            <w:r>
              <w:rPr>
                <w:rFonts w:ascii="Times New Roman" w:hAnsi="Times New Roman"/>
                <w:b/>
                <w:sz w:val="24"/>
                <w:szCs w:val="24"/>
              </w:rPr>
              <w:softHyphen/>
            </w:r>
            <w:r>
              <w:rPr>
                <w:rFonts w:ascii="Times New Roman" w:hAnsi="Times New Roman"/>
                <w:b/>
                <w:sz w:val="24"/>
                <w:szCs w:val="24"/>
              </w:rPr>
              <w:t>ності)</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Оцінювання проводиться за 100-бальною шкалою. Бали нараховуються за наступним співвідношенням: </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робота на практичних заняттях </w:t>
            </w:r>
            <w:r>
              <w:rPr>
                <w:rFonts w:ascii="Times New Roman" w:hAnsi="Times New Roman"/>
                <w:sz w:val="24"/>
                <w:szCs w:val="24"/>
                <w:lang w:val="en-US"/>
              </w:rPr>
              <w:t xml:space="preserve">– </w:t>
            </w:r>
            <w:r>
              <w:rPr>
                <w:rFonts w:ascii="Times New Roman" w:hAnsi="Times New Roman"/>
                <w:sz w:val="24"/>
                <w:szCs w:val="24"/>
              </w:rPr>
              <w:t>10 балів</w:t>
            </w:r>
            <w:r>
              <w:rPr>
                <w:rFonts w:ascii="Times New Roman" w:hAnsi="Times New Roman"/>
                <w:sz w:val="24"/>
                <w:szCs w:val="24"/>
                <w:lang w:val="en-US"/>
              </w:rPr>
              <w:t>;</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індивідуальне завдання – 40 балів;</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контрольна робота – 40 балів;</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співбесіда </w:t>
            </w:r>
            <w:r>
              <w:rPr>
                <w:rFonts w:ascii="Times New Roman" w:hAnsi="Times New Roman"/>
                <w:sz w:val="24"/>
                <w:szCs w:val="24"/>
                <w:lang w:val="en-US"/>
              </w:rPr>
              <w:t>–</w:t>
            </w:r>
            <w:r>
              <w:rPr>
                <w:rFonts w:ascii="Times New Roman" w:hAnsi="Times New Roman"/>
                <w:sz w:val="24"/>
                <w:szCs w:val="24"/>
              </w:rPr>
              <w:t>10 балів</w:t>
            </w:r>
            <w:r>
              <w:rPr>
                <w:rFonts w:ascii="Times New Roman" w:hAnsi="Times New Roman"/>
                <w:sz w:val="24"/>
                <w:szCs w:val="24"/>
                <w:lang w:val="en-US"/>
              </w:rPr>
              <w:t>;</w:t>
            </w:r>
          </w:p>
          <w:p>
            <w:pPr>
              <w:spacing w:after="0" w:line="240" w:lineRule="auto"/>
              <w:jc w:val="both"/>
              <w:rPr>
                <w:rFonts w:ascii="Times New Roman" w:hAnsi="Times New Roman"/>
                <w:sz w:val="24"/>
                <w:szCs w:val="24"/>
              </w:rPr>
            </w:pPr>
            <w:r>
              <w:rPr>
                <w:rFonts w:ascii="Times New Roman" w:hAnsi="Times New Roman"/>
                <w:sz w:val="24"/>
                <w:szCs w:val="24"/>
              </w:rPr>
              <w:t>Підсумкова максимальна кількість балів – 100.</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Письмові роботи:</w:t>
            </w:r>
            <w:r>
              <w:rPr>
                <w:rFonts w:ascii="Times New Roman" w:hAnsi="Times New Roman"/>
                <w:color w:val="000000"/>
                <w:sz w:val="24"/>
                <w:szCs w:val="24"/>
              </w:rPr>
              <w:t xml:space="preserve"> Виконуються у формі індивідуального завдання протягом семестру і контрольної роботи в кінці семестру.</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Академічна доброчесність</w:t>
            </w:r>
            <w:r>
              <w:rPr>
                <w:rFonts w:ascii="Times New Roman" w:hAnsi="Times New Roman"/>
                <w:color w:val="000000"/>
                <w:sz w:val="24"/>
                <w:szCs w:val="24"/>
              </w:rPr>
              <w:t>: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Відвідання занять</w:t>
            </w:r>
            <w:r>
              <w:rPr>
                <w:rFonts w:ascii="Times New Roman" w:hAnsi="Times New Roman"/>
                <w:color w:val="000000"/>
                <w:sz w:val="24"/>
                <w:szCs w:val="24"/>
              </w:rPr>
              <w:t xml:space="preserve"> є важливою складовою навчання. Очікується, що всі студенти відвідають усі лекції та практичні зайняття курсу. Студенти повинні інформувати викладача про неможливість відвідати заняття. У будь-якому випадку студенти зобов’язані дотримуватися термінів виз</w:t>
            </w:r>
            <w:r>
              <w:rPr>
                <w:rFonts w:ascii="Times New Roman" w:hAnsi="Times New Roman"/>
                <w:color w:val="000000"/>
                <w:sz w:val="24"/>
                <w:szCs w:val="24"/>
              </w:rPr>
              <w:softHyphen/>
            </w:r>
            <w:r>
              <w:rPr>
                <w:rFonts w:ascii="Times New Roman" w:hAnsi="Times New Roman"/>
                <w:color w:val="000000"/>
                <w:sz w:val="24"/>
                <w:szCs w:val="24"/>
              </w:rPr>
              <w:t>начених для виконання всіх видів письмових робіт та індивідуальних завдань, передбачених курсом.</w:t>
            </w:r>
          </w:p>
          <w:p>
            <w:pPr>
              <w:spacing w:after="0" w:line="240" w:lineRule="auto"/>
              <w:jc w:val="both"/>
              <w:rPr>
                <w:rFonts w:ascii="Times New Roman" w:hAnsi="Times New Roman"/>
                <w:sz w:val="24"/>
                <w:szCs w:val="24"/>
              </w:rPr>
            </w:pPr>
            <w:r>
              <w:rPr>
                <w:rFonts w:ascii="Times New Roman" w:hAnsi="Times New Roman"/>
                <w:b/>
                <w:color w:val="000000"/>
                <w:sz w:val="24"/>
                <w:szCs w:val="24"/>
              </w:rPr>
              <w:t>Література.</w:t>
            </w:r>
            <w:r>
              <w:rPr>
                <w:rFonts w:ascii="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bCs/>
                <w:sz w:val="24"/>
                <w:szCs w:val="24"/>
              </w:rPr>
              <w:t>П</w:t>
            </w:r>
            <w:r>
              <w:rPr>
                <w:rFonts w:ascii="Times New Roman" w:hAnsi="Times New Roman"/>
                <w:b/>
                <w:bCs/>
                <w:sz w:val="24"/>
                <w:szCs w:val="24"/>
                <w:lang w:eastAsia="uk-UA"/>
              </w:rPr>
              <w:t>олітика виставлення балів.</w:t>
            </w:r>
            <w:r>
              <w:rPr>
                <w:rFonts w:ascii="Times New Roman" w:hAnsi="Times New Roman"/>
                <w:sz w:val="24"/>
                <w:szCs w:val="24"/>
                <w:lang w:eastAsia="uk-UA"/>
              </w:rPr>
              <w:t> Враховуються бали набрані при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w:t>
            </w:r>
            <w:r>
              <w:rPr>
                <w:rFonts w:ascii="Times New Roman" w:hAnsi="Times New Roman"/>
                <w:sz w:val="24"/>
                <w:szCs w:val="24"/>
                <w:lang w:eastAsia="uk-UA"/>
              </w:rPr>
              <w:softHyphen/>
            </w:r>
            <w:r>
              <w:rPr>
                <w:rFonts w:ascii="Times New Roman" w:hAnsi="Times New Roman"/>
                <w:sz w:val="24"/>
                <w:szCs w:val="24"/>
                <w:lang w:eastAsia="uk-UA"/>
              </w:rPr>
              <w:t>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Жодні форми порушення академічної доброчесності не толеруються.</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bCs/>
                <w:sz w:val="24"/>
                <w:szCs w:val="24"/>
                <w:lang w:eastAsia="uk-UA"/>
              </w:rPr>
              <w:t>Питання до заліку</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На залік виносяться усі теми курсу (див. пункт Теми). Питання до заліку включають:</w:t>
            </w:r>
          </w:p>
          <w:p>
            <w:pPr>
              <w:pStyle w:val="7"/>
              <w:numPr>
                <w:ilvl w:val="0"/>
                <w:numId w:val="3"/>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формулювання означень основних понять курсу та подання прикладів, які ілюструють ці поняття;</w:t>
            </w:r>
          </w:p>
          <w:p>
            <w:pPr>
              <w:pStyle w:val="7"/>
              <w:numPr>
                <w:ilvl w:val="0"/>
                <w:numId w:val="3"/>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знання методів розв’язування задач</w:t>
            </w:r>
            <w:r>
              <w:rPr>
                <w:rFonts w:ascii="Times New Roman" w:hAnsi="Times New Roman"/>
                <w:sz w:val="24"/>
                <w:szCs w:val="24"/>
                <w:lang w:val="en-US"/>
              </w:rPr>
              <w:t>;</w:t>
            </w:r>
          </w:p>
          <w:p>
            <w:pPr>
              <w:pStyle w:val="7"/>
              <w:numPr>
                <w:ilvl w:val="0"/>
                <w:numId w:val="3"/>
              </w:numPr>
              <w:shd w:val="clear" w:color="auto" w:fill="FFFFFF"/>
              <w:spacing w:after="0" w:line="240" w:lineRule="auto"/>
              <w:ind w:left="428"/>
              <w:jc w:val="both"/>
              <w:textAlignment w:val="baseline"/>
              <w:rPr>
                <w:rFonts w:ascii="Times New Roman" w:hAnsi="Times New Roman"/>
                <w:color w:val="000000"/>
                <w:sz w:val="24"/>
                <w:szCs w:val="24"/>
                <w:lang w:eastAsia="uk-UA"/>
              </w:rPr>
            </w:pPr>
            <w:r>
              <w:rPr>
                <w:rFonts w:ascii="Times New Roman" w:hAnsi="Times New Roman"/>
                <w:sz w:val="24"/>
                <w:szCs w:val="24"/>
              </w:rPr>
              <w:t>вміння застосувати теоретичні знання до розв’язування практичних задач з тем, які викладені в курсі.</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Опитування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Анкету-оцінку з метою оцінювання якості курсу буде надано по завершенню курсу.</w:t>
            </w:r>
          </w:p>
        </w:tc>
      </w:tr>
    </w:tbl>
    <w:p>
      <w:pPr>
        <w:spacing w:after="0" w:line="240" w:lineRule="auto"/>
        <w:jc w:val="both"/>
        <w:rPr>
          <w:rFonts w:ascii="Times New Roman" w:hAnsi="Times New Roman"/>
          <w:color w:val="000000"/>
          <w:sz w:val="8"/>
          <w:szCs w:val="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widowControl w:val="0"/>
        <w:suppressAutoHyphens/>
        <w:spacing w:after="0" w:line="240" w:lineRule="auto"/>
        <w:ind w:left="234" w:right="221"/>
        <w:jc w:val="center"/>
        <w:rPr>
          <w:rFonts w:ascii="Times New Roman" w:hAnsi="Times New Roman"/>
          <w:i/>
          <w:sz w:val="32"/>
          <w:szCs w:val="32"/>
        </w:rPr>
      </w:pPr>
      <w:r>
        <w:rPr>
          <w:rFonts w:ascii="Times New Roman" w:hAnsi="Times New Roman"/>
          <w:i/>
          <w:sz w:val="32"/>
          <w:szCs w:val="32"/>
        </w:rPr>
        <w:t>Схема курсу</w:t>
      </w:r>
    </w:p>
    <w:p>
      <w:pPr>
        <w:widowControl w:val="0"/>
        <w:suppressAutoHyphens/>
        <w:spacing w:after="0" w:line="240" w:lineRule="auto"/>
        <w:ind w:left="234" w:right="221"/>
        <w:jc w:val="center"/>
        <w:rPr>
          <w:rFonts w:ascii="Times New Roman" w:hAnsi="Times New Roman"/>
          <w:i/>
          <w:iCs/>
          <w:sz w:val="28"/>
          <w:szCs w:val="28"/>
        </w:rPr>
      </w:pPr>
    </w:p>
    <w:tbl>
      <w:tblPr>
        <w:tblStyle w:val="3"/>
        <w:tblW w:w="9908" w:type="dxa"/>
        <w:tblInd w:w="-5" w:type="dxa"/>
        <w:tblLayout w:type="fixed"/>
        <w:tblCellMar>
          <w:top w:w="0" w:type="dxa"/>
          <w:left w:w="108" w:type="dxa"/>
          <w:bottom w:w="0" w:type="dxa"/>
          <w:right w:w="108" w:type="dxa"/>
        </w:tblCellMar>
      </w:tblPr>
      <w:tblGrid>
        <w:gridCol w:w="931"/>
        <w:gridCol w:w="2355"/>
        <w:gridCol w:w="1479"/>
        <w:gridCol w:w="1967"/>
        <w:gridCol w:w="1853"/>
        <w:gridCol w:w="1323"/>
      </w:tblGrid>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bookmarkStart w:id="0" w:name="_Hlk114256592"/>
            <w:r>
              <w:rPr>
                <w:rFonts w:ascii="Times New Roman" w:hAnsi="Times New Roman"/>
                <w:sz w:val="24"/>
                <w:szCs w:val="24"/>
              </w:rPr>
              <w:t>Тиждень,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Тема, план, короткі тези</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 xml:space="preserve">Форма діяльності </w:t>
            </w:r>
            <w:r>
              <w:rPr>
                <w:rFonts w:ascii="Times New Roman" w:hAnsi="Times New Roman"/>
                <w:sz w:val="18"/>
                <w:szCs w:val="18"/>
              </w:rPr>
              <w:t>((заняття)*</w:t>
            </w:r>
          </w:p>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18"/>
                <w:szCs w:val="18"/>
              </w:rPr>
              <w:t>*лекція, самостійна, дискусія, групова робота)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Література</w:t>
            </w:r>
          </w:p>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(Ресурси в інтернеті)</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Завдання,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1026"/>
              </w:tabs>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Термін виконання</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Перший,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Тема 1. Поняття показникової функції, її властивості, графік.</w:t>
            </w:r>
          </w:p>
          <w:p>
            <w:pPr>
              <w:widowControl w:val="0"/>
              <w:tabs>
                <w:tab w:val="left" w:pos="2263"/>
              </w:tabs>
              <w:suppressAutoHyphens/>
              <w:spacing w:after="0" w:line="240" w:lineRule="auto"/>
              <w:ind w:right="221"/>
              <w:rPr>
                <w:rFonts w:ascii="Times New Roman" w:hAnsi="Times New Roman"/>
                <w:i/>
                <w:sz w:val="20"/>
                <w:szCs w:val="20"/>
                <w:lang w:val="en-US" w:eastAsia="ru-RU"/>
              </w:rPr>
            </w:pPr>
            <w:r>
              <w:rPr>
                <w:rFonts w:ascii="Times New Roman" w:hAnsi="Times New Roman"/>
                <w:bCs/>
                <w:sz w:val="20"/>
                <w:szCs w:val="20"/>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eastAsia="Times New Roman"/>
                <w:sz w:val="20"/>
                <w:szCs w:val="20"/>
                <w:lang w:val="en-US" w:eastAsia="ru-RU"/>
              </w:rPr>
            </w:pPr>
            <w:r>
              <w:rPr>
                <w:rFonts w:ascii="Times New Roman" w:hAnsi="Times New Roman" w:eastAsia="Times New Roman"/>
                <w:sz w:val="20"/>
                <w:szCs w:val="20"/>
                <w:lang w:val="en-US"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Другий,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Тема 2. Поняття логарифмічної функції, її властивості, графік.</w:t>
            </w:r>
          </w:p>
          <w:p>
            <w:pPr>
              <w:widowControl w:val="0"/>
              <w:tabs>
                <w:tab w:val="left" w:pos="2263"/>
              </w:tabs>
              <w:suppressAutoHyphens/>
              <w:spacing w:after="0" w:line="240" w:lineRule="auto"/>
              <w:ind w:right="221"/>
              <w:rPr>
                <w:rFonts w:ascii="Times New Roman" w:hAnsi="Times New Roman"/>
                <w:b/>
                <w:sz w:val="20"/>
                <w:szCs w:val="20"/>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eastAsia="Times New Roman"/>
                <w:lang w:eastAsia="ru-RU"/>
              </w:rPr>
              <w:t>до заліку</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Третій,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3. Методи розв’язування показникових та логарифмічних рівнянь та нерівностей</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Четвертий,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3. Розв’язування показникових рівнянь та нерівностей</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П’ятий,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3. Розв’язування логарифмічних рівнянь та нерівностей. Побудова графіків</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до заліку</w:t>
            </w:r>
          </w:p>
        </w:tc>
      </w:tr>
      <w:bookmarkEnd w:id="0"/>
    </w:tbl>
    <w:p>
      <w:pPr>
        <w:spacing w:after="0" w:line="240" w:lineRule="auto"/>
        <w:jc w:val="both"/>
        <w:rPr>
          <w:rFonts w:ascii="Times New Roman" w:hAnsi="Times New Roman"/>
          <w:color w:val="000000"/>
          <w:sz w:val="28"/>
          <w:szCs w:val="28"/>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文鼎ＰＬ简中楷"/>
    <w:panose1 w:val="05000000000000000000"/>
    <w:charset w:val="00"/>
    <w:family w:val="auto"/>
    <w:pitch w:val="default"/>
    <w:sig w:usb0="00000000" w:usb1="10000000" w:usb2="00000000" w:usb3="00000000" w:csb0="80000000" w:csb1="00000000"/>
  </w:font>
  <w:font w:name="文鼎ＰＬ简中楷">
    <w:panose1 w:val="02010600030101010101"/>
    <w:charset w:val="86"/>
    <w:family w:val="auto"/>
    <w:pitch w:val="default"/>
    <w:sig w:usb0="00000001" w:usb1="080E0000" w:usb2="00000000" w:usb3="00000000" w:csb0="00040000" w:csb1="0000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B4A12"/>
    <w:multiLevelType w:val="multilevel"/>
    <w:tmpl w:val="2F2B4A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A2B0BF3"/>
    <w:multiLevelType w:val="multilevel"/>
    <w:tmpl w:val="7A2B0B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24214A"/>
    <w:multiLevelType w:val="multilevel"/>
    <w:tmpl w:val="7D2421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F"/>
    <w:rsid w:val="00002CF3"/>
    <w:rsid w:val="0001047F"/>
    <w:rsid w:val="00012C6C"/>
    <w:rsid w:val="000228A3"/>
    <w:rsid w:val="00025BA6"/>
    <w:rsid w:val="00025FDE"/>
    <w:rsid w:val="00046DD2"/>
    <w:rsid w:val="00056A43"/>
    <w:rsid w:val="00061FAC"/>
    <w:rsid w:val="000677E9"/>
    <w:rsid w:val="00075BD0"/>
    <w:rsid w:val="00082BE5"/>
    <w:rsid w:val="00092335"/>
    <w:rsid w:val="00094D0D"/>
    <w:rsid w:val="000B473E"/>
    <w:rsid w:val="000B5FE1"/>
    <w:rsid w:val="000D0AE8"/>
    <w:rsid w:val="000D40FE"/>
    <w:rsid w:val="0010499E"/>
    <w:rsid w:val="00124B01"/>
    <w:rsid w:val="00153A54"/>
    <w:rsid w:val="0015745B"/>
    <w:rsid w:val="001657D1"/>
    <w:rsid w:val="00185837"/>
    <w:rsid w:val="001B0FFB"/>
    <w:rsid w:val="001D4B44"/>
    <w:rsid w:val="001F6C8F"/>
    <w:rsid w:val="00225096"/>
    <w:rsid w:val="00230F24"/>
    <w:rsid w:val="002600D8"/>
    <w:rsid w:val="002641C5"/>
    <w:rsid w:val="00264E72"/>
    <w:rsid w:val="00270284"/>
    <w:rsid w:val="0027126F"/>
    <w:rsid w:val="002729A8"/>
    <w:rsid w:val="00283A7E"/>
    <w:rsid w:val="00283FA8"/>
    <w:rsid w:val="002C2455"/>
    <w:rsid w:val="002C7746"/>
    <w:rsid w:val="002D2890"/>
    <w:rsid w:val="002F4DF7"/>
    <w:rsid w:val="00322778"/>
    <w:rsid w:val="003414E4"/>
    <w:rsid w:val="003428D5"/>
    <w:rsid w:val="003516C5"/>
    <w:rsid w:val="0035210A"/>
    <w:rsid w:val="003A5DE5"/>
    <w:rsid w:val="003B747B"/>
    <w:rsid w:val="003D5246"/>
    <w:rsid w:val="003E26CC"/>
    <w:rsid w:val="00453E44"/>
    <w:rsid w:val="00491638"/>
    <w:rsid w:val="00491CF0"/>
    <w:rsid w:val="004C2D5C"/>
    <w:rsid w:val="004C3CCD"/>
    <w:rsid w:val="004E15D0"/>
    <w:rsid w:val="00540938"/>
    <w:rsid w:val="0055790A"/>
    <w:rsid w:val="005810D1"/>
    <w:rsid w:val="005861CF"/>
    <w:rsid w:val="005A2D5A"/>
    <w:rsid w:val="005B0D6A"/>
    <w:rsid w:val="005F6079"/>
    <w:rsid w:val="00623673"/>
    <w:rsid w:val="00627480"/>
    <w:rsid w:val="00647C5F"/>
    <w:rsid w:val="00651BB0"/>
    <w:rsid w:val="00667439"/>
    <w:rsid w:val="00674F35"/>
    <w:rsid w:val="00681CB8"/>
    <w:rsid w:val="0068704B"/>
    <w:rsid w:val="006A6169"/>
    <w:rsid w:val="006C2FDA"/>
    <w:rsid w:val="006C6A2C"/>
    <w:rsid w:val="006D5E0C"/>
    <w:rsid w:val="006D70D9"/>
    <w:rsid w:val="006E01C8"/>
    <w:rsid w:val="006E18F7"/>
    <w:rsid w:val="006F76E5"/>
    <w:rsid w:val="0070032C"/>
    <w:rsid w:val="0071765D"/>
    <w:rsid w:val="00744317"/>
    <w:rsid w:val="0075110C"/>
    <w:rsid w:val="007615CF"/>
    <w:rsid w:val="007812B1"/>
    <w:rsid w:val="007834AB"/>
    <w:rsid w:val="00786AA5"/>
    <w:rsid w:val="007961C3"/>
    <w:rsid w:val="007A08EA"/>
    <w:rsid w:val="007A3EDC"/>
    <w:rsid w:val="007A4DCB"/>
    <w:rsid w:val="007A5166"/>
    <w:rsid w:val="007C47F0"/>
    <w:rsid w:val="007E24F9"/>
    <w:rsid w:val="007E3FBB"/>
    <w:rsid w:val="008005B3"/>
    <w:rsid w:val="00813940"/>
    <w:rsid w:val="00847E88"/>
    <w:rsid w:val="00855F0A"/>
    <w:rsid w:val="00883655"/>
    <w:rsid w:val="008840B4"/>
    <w:rsid w:val="0088504A"/>
    <w:rsid w:val="008B6159"/>
    <w:rsid w:val="008C1CC2"/>
    <w:rsid w:val="0090041C"/>
    <w:rsid w:val="00903A86"/>
    <w:rsid w:val="00936511"/>
    <w:rsid w:val="00946152"/>
    <w:rsid w:val="0094745B"/>
    <w:rsid w:val="00965ED7"/>
    <w:rsid w:val="00973DFC"/>
    <w:rsid w:val="00976C35"/>
    <w:rsid w:val="00987681"/>
    <w:rsid w:val="00994B45"/>
    <w:rsid w:val="009B0569"/>
    <w:rsid w:val="009D72AE"/>
    <w:rsid w:val="009F0ABA"/>
    <w:rsid w:val="00A47F83"/>
    <w:rsid w:val="00A50747"/>
    <w:rsid w:val="00A60E78"/>
    <w:rsid w:val="00A71EB4"/>
    <w:rsid w:val="00A75EA4"/>
    <w:rsid w:val="00A84EB2"/>
    <w:rsid w:val="00AA6E47"/>
    <w:rsid w:val="00AB1FC5"/>
    <w:rsid w:val="00AB7296"/>
    <w:rsid w:val="00B3066C"/>
    <w:rsid w:val="00B3680A"/>
    <w:rsid w:val="00B75914"/>
    <w:rsid w:val="00B94C1A"/>
    <w:rsid w:val="00BE5DF0"/>
    <w:rsid w:val="00C075B2"/>
    <w:rsid w:val="00C11EED"/>
    <w:rsid w:val="00C3707D"/>
    <w:rsid w:val="00C63BB5"/>
    <w:rsid w:val="00C7035F"/>
    <w:rsid w:val="00CA1461"/>
    <w:rsid w:val="00CC182A"/>
    <w:rsid w:val="00CD087C"/>
    <w:rsid w:val="00CE03B1"/>
    <w:rsid w:val="00CF0CC8"/>
    <w:rsid w:val="00CF179D"/>
    <w:rsid w:val="00D15B8A"/>
    <w:rsid w:val="00D42FE2"/>
    <w:rsid w:val="00D54D64"/>
    <w:rsid w:val="00D63B44"/>
    <w:rsid w:val="00D84CC9"/>
    <w:rsid w:val="00DA2275"/>
    <w:rsid w:val="00DB28E4"/>
    <w:rsid w:val="00DD43C2"/>
    <w:rsid w:val="00DE7BD3"/>
    <w:rsid w:val="00E101DC"/>
    <w:rsid w:val="00E10435"/>
    <w:rsid w:val="00E22CEC"/>
    <w:rsid w:val="00E25EE8"/>
    <w:rsid w:val="00E317DA"/>
    <w:rsid w:val="00E43E38"/>
    <w:rsid w:val="00E44CA3"/>
    <w:rsid w:val="00E473E5"/>
    <w:rsid w:val="00E5496D"/>
    <w:rsid w:val="00E60BA1"/>
    <w:rsid w:val="00E61A6D"/>
    <w:rsid w:val="00E66BEF"/>
    <w:rsid w:val="00E73065"/>
    <w:rsid w:val="00E90DD7"/>
    <w:rsid w:val="00EA0A94"/>
    <w:rsid w:val="00EA3691"/>
    <w:rsid w:val="00EC2569"/>
    <w:rsid w:val="00EF22BC"/>
    <w:rsid w:val="00F2484C"/>
    <w:rsid w:val="00F41B90"/>
    <w:rsid w:val="00F44E6A"/>
    <w:rsid w:val="00F57660"/>
    <w:rsid w:val="00F65C5A"/>
    <w:rsid w:val="00F75643"/>
    <w:rsid w:val="00F86D8D"/>
    <w:rsid w:val="00F944E4"/>
    <w:rsid w:val="00FA5332"/>
    <w:rsid w:val="00FB25CF"/>
    <w:rsid w:val="00FC5665"/>
    <w:rsid w:val="00FD3FE9"/>
    <w:rsid w:val="00FE5759"/>
    <w:rsid w:val="00FE6A14"/>
    <w:rsid w:val="00FE79A3"/>
    <w:rsid w:val="00FF1A47"/>
    <w:rsid w:val="00FF5095"/>
    <w:rsid w:val="56A45210"/>
    <w:rsid w:val="EF9F5B62"/>
  </w:rsids>
  <m:mathPr>
    <m:mathFont m:val="Cambria Math"/>
    <m:brkBin m:val="before"/>
    <m:brkBinSub m:val="--"/>
    <m:smallFrac m:val="0"/>
    <m:dispDef/>
    <m:lMargin m:val="0"/>
    <m:rMargin m:val="0"/>
    <m:defJc m:val="centerGroup"/>
    <m:wrapIndent m:val="1440"/>
    <m:intLim m:val="subSup"/>
    <m:naryLim m:val="undOvr"/>
  </m:mathPr>
  <w:doNotAutoCompressPictures/>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semiHidden/>
    <w:qFormat/>
    <w:uiPriority w:val="99"/>
    <w:rPr>
      <w:rFonts w:cs="Times New Roman"/>
      <w:color w:val="954F72"/>
      <w:u w:val="single"/>
    </w:rPr>
  </w:style>
  <w:style w:type="character" w:styleId="5">
    <w:name w:val="Hyperlink"/>
    <w:qFormat/>
    <w:uiPriority w:val="99"/>
    <w:rPr>
      <w:rFonts w:cs="Times New Roman"/>
      <w:color w:val="0563C1"/>
      <w:u w:val="single"/>
    </w:rPr>
  </w:style>
  <w:style w:type="paragraph" w:styleId="6">
    <w:name w:val="Subtitle"/>
    <w:basedOn w:val="1"/>
    <w:next w:val="1"/>
    <w:link w:val="9"/>
    <w:qFormat/>
    <w:uiPriority w:val="99"/>
    <w:pPr>
      <w:spacing w:after="160"/>
    </w:pPr>
    <w:rPr>
      <w:rFonts w:eastAsia="Times New Roman"/>
      <w:color w:val="5A5A5A"/>
      <w:spacing w:val="15"/>
    </w:rPr>
  </w:style>
  <w:style w:type="paragraph" w:styleId="7">
    <w:name w:val="List Paragraph"/>
    <w:basedOn w:val="1"/>
    <w:qFormat/>
    <w:uiPriority w:val="34"/>
    <w:pPr>
      <w:ind w:left="720"/>
      <w:contextualSpacing/>
    </w:pPr>
  </w:style>
  <w:style w:type="character" w:customStyle="1" w:styleId="8">
    <w:name w:val="Незакрита згадка1"/>
    <w:semiHidden/>
    <w:qFormat/>
    <w:uiPriority w:val="99"/>
    <w:rPr>
      <w:rFonts w:cs="Times New Roman"/>
      <w:color w:val="605E5C"/>
      <w:shd w:val="clear" w:color="auto" w:fill="E1DFDD"/>
    </w:rPr>
  </w:style>
  <w:style w:type="character" w:customStyle="1" w:styleId="9">
    <w:name w:val="Підзаголовок Знак"/>
    <w:link w:val="6"/>
    <w:qFormat/>
    <w:locked/>
    <w:uiPriority w:val="99"/>
    <w:rPr>
      <w:rFonts w:eastAsia="Times New Roman" w:cs="Times New Roman"/>
      <w:color w:val="5A5A5A"/>
      <w:spacing w:val="15"/>
    </w:rPr>
  </w:style>
  <w:style w:type="character" w:customStyle="1" w:styleId="10">
    <w:name w:val="Незакрита згадка2"/>
    <w:semiHidden/>
    <w:unhideWhenUsed/>
    <w:qFormat/>
    <w:uiPriority w:val="99"/>
    <w:rPr>
      <w:color w:val="605E5C"/>
      <w:shd w:val="clear" w:color="auto" w:fill="E1DFDD"/>
    </w:rPr>
  </w:style>
  <w:style w:type="character" w:customStyle="1" w:styleId="11">
    <w:name w:val="inline"/>
    <w:qFormat/>
    <w:uiPriority w:val="0"/>
  </w:style>
  <w:style w:type="character" w:customStyle="1" w:styleId="12">
    <w:name w:val="Unresolved Mention"/>
    <w:basedOn w:val="2"/>
    <w:semiHidden/>
    <w:unhideWhenUsed/>
    <w:qFormat/>
    <w:uiPriority w:val="99"/>
    <w:rPr>
      <w:color w:val="605E5C"/>
      <w:shd w:val="clear" w:color="auto" w:fill="E1DFDD"/>
    </w:rPr>
  </w:style>
  <w:style w:type="character" w:styleId="13">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1341</Words>
  <Characters>7650</Characters>
  <Lines>63</Lines>
  <Paragraphs>17</Paragraphs>
  <TotalTime>0</TotalTime>
  <ScaleCrop>false</ScaleCrop>
  <LinksUpToDate>false</LinksUpToDate>
  <CharactersWithSpaces>8974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2022-10-08T17:10:00Z</dcterms:created>
  <dc:creator>LNU</dc:creator>
  <cp:lastModifiedBy>andriychychok</cp:lastModifiedBy>
  <cp:lastPrinted>2022-09-17T02:52:00Z</cp:lastPrinted>
  <dcterms:modified xsi:type="dcterms:W3CDTF">2022-10-09T23:22:12Z</dcterms:modified>
  <dc:title>МІНІСТЕРСТВО ОСВІТИ І НАУКИ УКРАЇНИ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