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before="73" w:after="0" w:line="240" w:lineRule="auto"/>
        <w:ind w:left="1907" w:right="112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МІНІСТЕРСТВО</w:t>
      </w:r>
      <w:r>
        <w:rPr>
          <w:rFonts w:ascii="Times New Roman" w:hAnsi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ОСВІТИ</w:t>
      </w:r>
      <w:r>
        <w:rPr>
          <w:rFonts w:ascii="Times New Roman" w:hAnsi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І</w:t>
      </w:r>
      <w:r>
        <w:rPr>
          <w:rFonts w:ascii="Times New Roman" w:hAnsi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НАУКИ</w:t>
      </w:r>
      <w:r>
        <w:rPr>
          <w:rFonts w:ascii="Times New Roman" w:hAnsi="Times New Roman" w:eastAsia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УКРАЇНИ</w:t>
      </w:r>
    </w:p>
    <w:p>
      <w:pPr>
        <w:widowControl w:val="0"/>
        <w:suppressAutoHyphens/>
        <w:spacing w:before="5" w:after="0" w:line="240" w:lineRule="auto"/>
        <w:ind w:right="1120"/>
        <w:rPr>
          <w:rFonts w:ascii="Times New Roman" w:hAnsi="Times New Roman" w:eastAsia="Times New Roman"/>
          <w:sz w:val="24"/>
          <w:szCs w:val="28"/>
        </w:rPr>
      </w:pPr>
    </w:p>
    <w:p>
      <w:pPr>
        <w:widowControl w:val="0"/>
        <w:suppressAutoHyphens/>
        <w:spacing w:after="0" w:line="446" w:lineRule="auto"/>
        <w:ind w:left="1350" w:right="729"/>
        <w:jc w:val="center"/>
        <w:rPr>
          <w:rFonts w:ascii="Times New Roman" w:hAnsi="Times New Roman" w:eastAsia="Times New Roman"/>
          <w:spacing w:val="-68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Львівський національний університет імені Івана Франка</w:t>
      </w:r>
      <w:r>
        <w:rPr>
          <w:rFonts w:ascii="Times New Roman" w:hAnsi="Times New Roman" w:eastAsia="Times New Roman"/>
          <w:spacing w:val="-68"/>
          <w:sz w:val="28"/>
          <w:szCs w:val="28"/>
        </w:rPr>
        <w:t xml:space="preserve"> </w:t>
      </w:r>
    </w:p>
    <w:p>
      <w:pPr>
        <w:widowControl w:val="0"/>
        <w:suppressAutoHyphens/>
        <w:spacing w:after="0" w:line="446" w:lineRule="auto"/>
        <w:ind w:left="1907" w:right="112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Механіко-математичний</w:t>
      </w:r>
      <w:r>
        <w:rPr>
          <w:rFonts w:ascii="Times New Roman" w:hAnsi="Times New Roman" w:eastAsia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факультет</w:t>
      </w:r>
    </w:p>
    <w:p>
      <w:pPr>
        <w:widowControl w:val="0"/>
        <w:suppressAutoHyphens/>
        <w:spacing w:after="0" w:line="321" w:lineRule="exact"/>
        <w:ind w:left="1907" w:right="112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Кафедра</w:t>
      </w:r>
      <w:r>
        <w:rPr>
          <w:rFonts w:ascii="Times New Roman" w:hAnsi="Times New Roman" w:eastAsia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теорії функцій і функціонального аналізу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Times New Roman"/>
          <w:sz w:val="30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засіданні кафедри теорії функцій і 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функціонального аналізу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механіко-математичного факультету 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від 25 серпня 202</w:t>
      </w:r>
      <w:r>
        <w:rPr>
          <w:rFonts w:ascii="Times New Roman" w:hAnsi="Times New Roman"/>
          <w:sz w:val="24"/>
          <w:szCs w:val="24"/>
          <w:lang w:val="pl-PL"/>
        </w:rPr>
        <w:t>2</w:t>
      </w:r>
      <w:r>
        <w:rPr>
          <w:rFonts w:ascii="Times New Roman" w:hAnsi="Times New Roman"/>
          <w:sz w:val="24"/>
          <w:szCs w:val="24"/>
        </w:rPr>
        <w:t xml:space="preserve"> р.)</w:t>
      </w: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  <w:bookmarkStart w:id="1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69850</wp:posOffset>
            </wp:positionV>
            <wp:extent cx="1471295" cy="1431290"/>
            <wp:effectExtent l="0" t="0" r="14605" b="165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 проф. Скасків О. Б.</w:t>
      </w:r>
    </w:p>
    <w:p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>
        <w:rPr>
          <w:u w:val="single"/>
        </w:rPr>
        <w:drawing>
          <wp:inline distT="0" distB="0" distL="114300" distR="114300">
            <wp:extent cx="528320" cy="383540"/>
            <wp:effectExtent l="0" t="0" r="508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___________ 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“</w:t>
      </w:r>
      <w:r>
        <w:rPr>
          <w:rFonts w:ascii="Times New Roman" w:hAnsi="Times New Roman"/>
          <w:bCs/>
          <w:color w:val="000000"/>
          <w:sz w:val="28"/>
          <w:szCs w:val="28"/>
        </w:rPr>
        <w:t>Додаткові розділи ТЙМС в шкільному курсі математики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”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що викладається в межах ОПП “Середня освіта (Математика)”</w:t>
      </w:r>
    </w:p>
    <w:p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другого (магістерського) рівня вищої освіти </w:t>
      </w:r>
    </w:p>
    <w:p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здобувачів з спеціальності 014.04 Середня освіта (Математика) </w:t>
      </w:r>
    </w:p>
    <w:p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Львів 2022 р.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3"/>
        <w:tblW w:w="97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7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Додаткові розділи ТЙМС в шкільному курсі математики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Механіко-математичний факультет 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теорії функцій і функціонального аналізу </w:t>
            </w:r>
          </w:p>
        </w:tc>
      </w:tr>
      <w:t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Освіта/педагогіка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014.04 – Середня освіта (Математика)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Притула Ярослав Григорович, доцент кафедри теорії функцій і функціонального аналізу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yaroslav.prytula@lnu.edu.ua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"https://new.mmf.lnu.edu.ua/employee/prytula-ya-h"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https://new.mmf.lnu.edu.ua/employee/prytula-ya-h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Університетська, 1, к. 373.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 за адресою: м. Львів, вул. Університетська 1, ауд.374. Також можливі он-лайн консультації на платформі ZOOM. Для погодження часу консультацій слід писати на електронну пошту викладача.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Сторінка дисципліни 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https://new.mmf.lnu.edu.ua/course/  </w:t>
            </w:r>
            <w:r>
              <w:fldChar w:fldCharType="begin"/>
            </w:r>
            <w:r>
              <w:instrText xml:space="preserve"> HYPERLINK "https://new.mmf.lnu.edu.ua/course/matematychnyy-analiz-mtm-mto-mta-mtk-2kurs" </w:instrText>
            </w:r>
            <w:r>
              <w:fldChar w:fldCharType="separate"/>
            </w:r>
            <w: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“Додаткові розділи ТЙМС в шкільному курсі математики” є вибірковою навчальною дисципліною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циклу професійної та практичної підготовки зі спеціальності 014.04 Середня освіта (Математика) для освітньої програми “Середня освіта (Математика)”, яка викладається в 2-му семестрі в обсязі 3ох кредитів (за Європейською Кредитно-Трансферною Системою ECTS).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даному курсі, опираючись на шкільний рівень знань з математики подаються основні поняття теорії ймовірностей, випадкових процесів та елементів статистичного аналізу даних. Родається методика розв’язування задач з теорії ймовірностей і статистики.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Метою курсу є подання сучасного підходу до введення основних понять теорії ймовірностей та математичної статистики. Засвоєння основних методик розв’язування практичних задач із застосуванням теоретичних положень з ТЙМС.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7" w:hanging="2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Грохольська А. В., Яценко С. Є. Методика навчання математики в старшій та вищій школах: навч. посібник для студ. фіз. мат. спец. пед. ун-тів. – Київ 2011, 156 с.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7" w:hanging="2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Слєпкань З. І. Методика навчання математики: Підручник. – К.: Вища школа 2006. – 582 с.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7" w:hanging="2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Бродський Я. С. Статистика, ймовірність, комбінаторика, Навч. посібн.: Тернопіль: Навчальна книга Богдан. 2017, 544с.  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7" w:hanging="2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Мерзляк А.Г., Номіровський Д.А., Полонський В.Б., Якір М.С. Математика: Алгебра і початки аналізу та геометрія: підр. для 11 кл. (рівень стандарту) – Харків, "Гімназія", 2019.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7" w:hanging="2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Мерзляк А.Г., Номіровський Д.А., Полонський В.Б., Якір М.С. Алгебра і початки аналізу підручник для 11 класу (профільний рівень) – Харків, "Гімназія", 2019.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7" w:hanging="2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Істер О. Математика: Алгебра і початки аналізу та геометрія: підр. для 11 кл. (рівень стандарту) – Київ, "Генеза", 2019.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7" w:hanging="2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Істер О., Єргіна О. Алгебра і початки аналізу підручник для 11 класу (профільний рівень) – Київ, "Генеза", 2019.</w:t>
            </w:r>
          </w:p>
          <w:p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Загальний обсяг: 60 годин. Аудиторних занять: 12 год., з них 6 годин лекцій та 6 годин практичних робіт. Самостійна робота: 48 год.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основні поняття з комбінаторики,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означення поняття ймовірності випадкової події та її властивості;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основні поняття та твердження про: незалежні події, умовну ймовірність, випадкову величину та її математичне сподівання;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означення і зміст основних характеристик рядів даних: розмах вибірки, мода, медіана, середнє значення.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Вміти: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обгрунтовувати введення основних понять комбінаторики, теорії ймовірності і статистики та їх взаємозв’язок;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розв’язувати задачі з розглянутих розділів комбінаторики;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зводити практичні задачі до певних понять з теорії ймовірностей і статистики.</w:t>
            </w:r>
          </w:p>
          <w:p>
            <w:pPr>
              <w:spacing w:after="0" w:line="240" w:lineRule="auto"/>
              <w:ind w:left="5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Випадкова подія, ймовірносний простір, ймовірність події, незалежні події, випадкова величина, вибірка.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Очний, дистанційний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лекцій, практичних робіт і консультацій.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тем подано в додатку у формі схеми курсу.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Залік у формі контрольної роботи у кінці семестру.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шкільного курсу математики та університетських курсів теорії ймовірностей та математичної статистики.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Лекції, практичні заняття з розв’язування задач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ладнання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обладнана дошкою та засобами написання для аудиторних занять.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Комп’ютер/ планшет/ смартфон із загально вживаним програмним забезпеченням, доступ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мережі, Zoom.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нювання (окремо для кожного виду навчальної діяль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ності)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робота на практичних заняттях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10 балів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індивідуальне завдання – 40 балів;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 – 40 балів;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співбесіда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 балів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– 100.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Виконуються у формі індивідуального завдання протягом семестру і контрольної роботи в кінці семестру.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практичні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начених для виконання всіх видів письмових робіт та індивідуальних завдань, передбачених курсом.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 Враховуються бали набрані при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залік виносяться усі теми курсу (див. пункт Теми). Питання до заліку включають:</w:t>
            </w:r>
          </w:p>
          <w:p>
            <w:pPr>
              <w:pStyle w:val="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формулювання означень основних понять курсу та подання прикладів, які ілюструють ці поняття;</w:t>
            </w:r>
          </w:p>
          <w:p>
            <w:pPr>
              <w:pStyle w:val="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методів розв’язування задач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>
            <w:pPr>
              <w:pStyle w:val="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вміння застосувати теоретичні знання до розв’язування практичних задач з тем, які викладені в курсі.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Схема курсу</w:t>
      </w:r>
    </w:p>
    <w:p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3"/>
        <w:tblW w:w="990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355"/>
        <w:gridCol w:w="1479"/>
        <w:gridCol w:w="1967"/>
        <w:gridCol w:w="1853"/>
        <w:gridCol w:w="1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 w:eastAsia="Times New Roman"/>
                <w:lang w:eastAsia="ru-RU"/>
              </w:rPr>
            </w:pPr>
            <w:bookmarkStart w:id="0" w:name="_Hlk114256592"/>
            <w:r>
              <w:rPr>
                <w:rFonts w:ascii="Times New Roman" w:hAnsi="Times New Roman"/>
                <w:sz w:val="24"/>
                <w:szCs w:val="24"/>
              </w:rPr>
              <w:t>Тиждень,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план, короткі тези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діяльності </w:t>
            </w:r>
            <w:r>
              <w:rPr>
                <w:rFonts w:ascii="Times New Roman" w:hAnsi="Times New Roman"/>
                <w:sz w:val="18"/>
                <w:szCs w:val="18"/>
              </w:rPr>
              <w:t>((заняття)*</w:t>
            </w:r>
          </w:p>
          <w:p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*лекція, самостійна, дискусія, групова робота)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(Ресурси в інтернеті)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Завдання, </w:t>
            </w:r>
          </w:p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026"/>
              </w:tabs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Перший, </w:t>
            </w:r>
          </w:p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Комбінаторика. Основні правила комбінаторики. Перестановки розміщення та комбінації. 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>[1, 2, 3]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год.)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до заліку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Перший, </w:t>
            </w:r>
          </w:p>
          <w:p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Розв’язування задач з комбінаторики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>[4, 5, 6, 7]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год.)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до заліку</w:t>
            </w:r>
          </w:p>
        </w:tc>
      </w:tr>
      <w:t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Другий,</w:t>
            </w:r>
          </w:p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Випадкова подія. Ймовірність випадкової події та її властивості. Умовна ймовірність. Математичне сподівання.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>[1, 2, 3]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год.)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до заліку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Другий,</w:t>
            </w:r>
          </w:p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Розв’язування задач по темі: незалежні події та умовна ймовірність. Випадкова величина та її математичне сподівання.</w:t>
            </w:r>
          </w:p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>[4, 5, 6, 7]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год.)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до заліку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Третій,</w:t>
            </w:r>
          </w:p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Означення і зміст основних характеристик рядів даних: розмах вибірки, мода, медіана, середнє значення. Форми подання статистичних даних.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>[1, 2, 3]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год.)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до заліку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Третій,</w:t>
            </w:r>
          </w:p>
          <w:p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Обчислення основних характеристик рядів даних: розмах вибірки, мода, медіана, середнє значення за відповідними формулами.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  <w:t>[4, 5, 6, 7]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год.)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до заліку</w:t>
            </w:r>
          </w:p>
        </w:tc>
      </w:tr>
      <w:bookmarkEnd w:id="0"/>
    </w:tbl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文鼎ＰＬ简中楷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文鼎ＰＬ简中楷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B4A12"/>
    <w:multiLevelType w:val="multilevel"/>
    <w:tmpl w:val="2F2B4A1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A2B0BF3"/>
    <w:multiLevelType w:val="multilevel"/>
    <w:tmpl w:val="7A2B0BF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4214A"/>
    <w:multiLevelType w:val="multilevel"/>
    <w:tmpl w:val="7D24214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12C6C"/>
    <w:rsid w:val="000228A3"/>
    <w:rsid w:val="00025BA6"/>
    <w:rsid w:val="00025FDE"/>
    <w:rsid w:val="00026419"/>
    <w:rsid w:val="00032F18"/>
    <w:rsid w:val="00046DD2"/>
    <w:rsid w:val="00056A43"/>
    <w:rsid w:val="00061FAC"/>
    <w:rsid w:val="000677E9"/>
    <w:rsid w:val="0007412F"/>
    <w:rsid w:val="00075BD0"/>
    <w:rsid w:val="00082BE5"/>
    <w:rsid w:val="00092335"/>
    <w:rsid w:val="00094336"/>
    <w:rsid w:val="00094D0D"/>
    <w:rsid w:val="000B473E"/>
    <w:rsid w:val="000B5FE1"/>
    <w:rsid w:val="000D0AE8"/>
    <w:rsid w:val="000D40FE"/>
    <w:rsid w:val="0010499E"/>
    <w:rsid w:val="00124B01"/>
    <w:rsid w:val="00153A54"/>
    <w:rsid w:val="0015745B"/>
    <w:rsid w:val="001657D1"/>
    <w:rsid w:val="00185837"/>
    <w:rsid w:val="001B0FFB"/>
    <w:rsid w:val="001D4B44"/>
    <w:rsid w:val="001D7911"/>
    <w:rsid w:val="001F6C8F"/>
    <w:rsid w:val="00225096"/>
    <w:rsid w:val="00230F24"/>
    <w:rsid w:val="002600D8"/>
    <w:rsid w:val="002641C5"/>
    <w:rsid w:val="00264E72"/>
    <w:rsid w:val="00270284"/>
    <w:rsid w:val="0027126F"/>
    <w:rsid w:val="002729A8"/>
    <w:rsid w:val="00283A7E"/>
    <w:rsid w:val="00283FA8"/>
    <w:rsid w:val="002C2455"/>
    <w:rsid w:val="002C7746"/>
    <w:rsid w:val="002D2890"/>
    <w:rsid w:val="002F4DF7"/>
    <w:rsid w:val="00303A9F"/>
    <w:rsid w:val="00322778"/>
    <w:rsid w:val="003414E4"/>
    <w:rsid w:val="003428D5"/>
    <w:rsid w:val="003516C5"/>
    <w:rsid w:val="0035210A"/>
    <w:rsid w:val="003A5DE5"/>
    <w:rsid w:val="003B747B"/>
    <w:rsid w:val="003D5246"/>
    <w:rsid w:val="003E26CC"/>
    <w:rsid w:val="00453E44"/>
    <w:rsid w:val="00491638"/>
    <w:rsid w:val="00491CF0"/>
    <w:rsid w:val="004C2D5C"/>
    <w:rsid w:val="004C3CCD"/>
    <w:rsid w:val="004E15D0"/>
    <w:rsid w:val="00540938"/>
    <w:rsid w:val="0055790A"/>
    <w:rsid w:val="005810D1"/>
    <w:rsid w:val="005861CF"/>
    <w:rsid w:val="005A2D5A"/>
    <w:rsid w:val="005B0D6A"/>
    <w:rsid w:val="005E58F3"/>
    <w:rsid w:val="005F6079"/>
    <w:rsid w:val="00623673"/>
    <w:rsid w:val="00627480"/>
    <w:rsid w:val="00647C5F"/>
    <w:rsid w:val="00651BB0"/>
    <w:rsid w:val="006617F2"/>
    <w:rsid w:val="00667439"/>
    <w:rsid w:val="00674F35"/>
    <w:rsid w:val="00681CB8"/>
    <w:rsid w:val="0068704B"/>
    <w:rsid w:val="006A6169"/>
    <w:rsid w:val="006C2FDA"/>
    <w:rsid w:val="006C6A2C"/>
    <w:rsid w:val="006D5E0C"/>
    <w:rsid w:val="006D70D9"/>
    <w:rsid w:val="006E01C8"/>
    <w:rsid w:val="006E18F7"/>
    <w:rsid w:val="006F76E5"/>
    <w:rsid w:val="0070032C"/>
    <w:rsid w:val="0071765D"/>
    <w:rsid w:val="00744317"/>
    <w:rsid w:val="0075110C"/>
    <w:rsid w:val="007615CF"/>
    <w:rsid w:val="007812B1"/>
    <w:rsid w:val="007834AB"/>
    <w:rsid w:val="00786AA5"/>
    <w:rsid w:val="007961C3"/>
    <w:rsid w:val="007A08EA"/>
    <w:rsid w:val="007A3EDC"/>
    <w:rsid w:val="007A4DCB"/>
    <w:rsid w:val="007A5166"/>
    <w:rsid w:val="007C47F0"/>
    <w:rsid w:val="007E24F9"/>
    <w:rsid w:val="007E3FBB"/>
    <w:rsid w:val="008005B3"/>
    <w:rsid w:val="00813940"/>
    <w:rsid w:val="00847E88"/>
    <w:rsid w:val="00855F0A"/>
    <w:rsid w:val="00883655"/>
    <w:rsid w:val="008840B4"/>
    <w:rsid w:val="0088504A"/>
    <w:rsid w:val="008B6159"/>
    <w:rsid w:val="008C1CC2"/>
    <w:rsid w:val="0090041C"/>
    <w:rsid w:val="00903A86"/>
    <w:rsid w:val="00936511"/>
    <w:rsid w:val="00946152"/>
    <w:rsid w:val="0094745B"/>
    <w:rsid w:val="00953C60"/>
    <w:rsid w:val="00965ED7"/>
    <w:rsid w:val="00973DFC"/>
    <w:rsid w:val="00976C35"/>
    <w:rsid w:val="00987681"/>
    <w:rsid w:val="00994B45"/>
    <w:rsid w:val="009B0569"/>
    <w:rsid w:val="009D72AE"/>
    <w:rsid w:val="009F0ABA"/>
    <w:rsid w:val="00A00E80"/>
    <w:rsid w:val="00A47F83"/>
    <w:rsid w:val="00A50747"/>
    <w:rsid w:val="00A60E78"/>
    <w:rsid w:val="00A71EB4"/>
    <w:rsid w:val="00A75EA4"/>
    <w:rsid w:val="00A84EB2"/>
    <w:rsid w:val="00AA6E47"/>
    <w:rsid w:val="00AB1FC5"/>
    <w:rsid w:val="00AB7296"/>
    <w:rsid w:val="00B3066C"/>
    <w:rsid w:val="00B3680A"/>
    <w:rsid w:val="00B75914"/>
    <w:rsid w:val="00B94C1A"/>
    <w:rsid w:val="00BB4246"/>
    <w:rsid w:val="00BE5DF0"/>
    <w:rsid w:val="00C075B2"/>
    <w:rsid w:val="00C11EED"/>
    <w:rsid w:val="00C3707D"/>
    <w:rsid w:val="00C63BB5"/>
    <w:rsid w:val="00C7035F"/>
    <w:rsid w:val="00C71FCC"/>
    <w:rsid w:val="00CA1461"/>
    <w:rsid w:val="00CC182A"/>
    <w:rsid w:val="00CD087C"/>
    <w:rsid w:val="00CD6C55"/>
    <w:rsid w:val="00CE03B1"/>
    <w:rsid w:val="00CF0CC8"/>
    <w:rsid w:val="00CF179D"/>
    <w:rsid w:val="00D15B8A"/>
    <w:rsid w:val="00D42FE2"/>
    <w:rsid w:val="00D54D64"/>
    <w:rsid w:val="00D63B44"/>
    <w:rsid w:val="00D84CC9"/>
    <w:rsid w:val="00DA2275"/>
    <w:rsid w:val="00DB28E4"/>
    <w:rsid w:val="00DD43C2"/>
    <w:rsid w:val="00DE7BD3"/>
    <w:rsid w:val="00E101DC"/>
    <w:rsid w:val="00E10435"/>
    <w:rsid w:val="00E22CEC"/>
    <w:rsid w:val="00E25EE8"/>
    <w:rsid w:val="00E317DA"/>
    <w:rsid w:val="00E43E38"/>
    <w:rsid w:val="00E44CA3"/>
    <w:rsid w:val="00E473E5"/>
    <w:rsid w:val="00E5496D"/>
    <w:rsid w:val="00E60BA1"/>
    <w:rsid w:val="00E61A6D"/>
    <w:rsid w:val="00E66BEF"/>
    <w:rsid w:val="00E73065"/>
    <w:rsid w:val="00EA0A94"/>
    <w:rsid w:val="00EA3691"/>
    <w:rsid w:val="00EC2569"/>
    <w:rsid w:val="00EF22BC"/>
    <w:rsid w:val="00F2484C"/>
    <w:rsid w:val="00F41B90"/>
    <w:rsid w:val="00F44E6A"/>
    <w:rsid w:val="00F57660"/>
    <w:rsid w:val="00F65C5A"/>
    <w:rsid w:val="00F75643"/>
    <w:rsid w:val="00F86D8D"/>
    <w:rsid w:val="00F90B51"/>
    <w:rsid w:val="00F944E4"/>
    <w:rsid w:val="00FA5332"/>
    <w:rsid w:val="00FB25CF"/>
    <w:rsid w:val="00FC5665"/>
    <w:rsid w:val="00FD3FE9"/>
    <w:rsid w:val="00FE5759"/>
    <w:rsid w:val="00FE6A14"/>
    <w:rsid w:val="00FE79A3"/>
    <w:rsid w:val="00FF1A47"/>
    <w:rsid w:val="00FF5095"/>
    <w:rsid w:val="1B4FB73B"/>
    <w:rsid w:val="F13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semiHidden/>
    <w:qFormat/>
    <w:uiPriority w:val="99"/>
    <w:rPr>
      <w:rFonts w:cs="Times New Roman"/>
      <w:color w:val="954F72"/>
      <w:u w:val="single"/>
    </w:rPr>
  </w:style>
  <w:style w:type="character" w:styleId="5">
    <w:name w:val="Hyperlink"/>
    <w:qFormat/>
    <w:uiPriority w:val="99"/>
    <w:rPr>
      <w:rFonts w:cs="Times New Roman"/>
      <w:color w:val="0563C1"/>
      <w:u w:val="single"/>
    </w:rPr>
  </w:style>
  <w:style w:type="paragraph" w:styleId="6">
    <w:name w:val="Subtitle"/>
    <w:basedOn w:val="1"/>
    <w:next w:val="1"/>
    <w:link w:val="9"/>
    <w:qFormat/>
    <w:uiPriority w:val="99"/>
    <w:pPr>
      <w:spacing w:after="160"/>
    </w:pPr>
    <w:rPr>
      <w:rFonts w:eastAsia="Times New Roman"/>
      <w:color w:val="5A5A5A"/>
      <w:spacing w:val="15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Незакрита згадка1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9">
    <w:name w:val="Підзаголовок Знак"/>
    <w:link w:val="6"/>
    <w:qFormat/>
    <w:locked/>
    <w:uiPriority w:val="99"/>
    <w:rPr>
      <w:rFonts w:eastAsia="Times New Roman" w:cs="Times New Roman"/>
      <w:color w:val="5A5A5A"/>
      <w:spacing w:val="15"/>
    </w:rPr>
  </w:style>
  <w:style w:type="character" w:customStyle="1" w:styleId="10">
    <w:name w:val="Незакрита згадка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inline"/>
    <w:qFormat/>
    <w:uiPriority w:val="0"/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styleId="13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1374</Words>
  <Characters>7833</Characters>
  <Lines>65</Lines>
  <Paragraphs>18</Paragraphs>
  <TotalTime>0</TotalTime>
  <ScaleCrop>false</ScaleCrop>
  <LinksUpToDate>false</LinksUpToDate>
  <CharactersWithSpaces>9189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2022-10-09T17:00:00Z</dcterms:created>
  <dc:creator>LNU</dc:creator>
  <cp:lastModifiedBy>andriychychok</cp:lastModifiedBy>
  <cp:lastPrinted>2022-09-17T02:52:00Z</cp:lastPrinted>
  <dcterms:modified xsi:type="dcterms:W3CDTF">2022-10-09T23:21:44Z</dcterms:modified>
  <dc:title>МІНІСТЕРСТВО ОСВІТИ І НАУКИ УКРАЇНИ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