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2" w:rsidRPr="001F1640" w:rsidRDefault="00FB46A2" w:rsidP="00FB46A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Варіант </w:t>
      </w:r>
      <w:bookmarkStart w:id="0" w:name="_GoBack"/>
      <w:bookmarkEnd w:id="0"/>
    </w:p>
    <w:p w:rsidR="00FB46A2" w:rsidRPr="001F1640" w:rsidRDefault="00FB46A2" w:rsidP="00FB46A2">
      <w:pPr>
        <w:ind w:firstLine="708"/>
        <w:rPr>
          <w:sz w:val="20"/>
          <w:szCs w:val="20"/>
        </w:rPr>
      </w:pPr>
      <w:r w:rsidRPr="001F1640">
        <w:rPr>
          <w:sz w:val="20"/>
          <w:szCs w:val="20"/>
        </w:rPr>
        <w:t xml:space="preserve">1. Довести,  що будь-яку формулу ЧВ, яка не є </w:t>
      </w:r>
      <w:proofErr w:type="spellStart"/>
      <w:r w:rsidRPr="001F1640">
        <w:rPr>
          <w:sz w:val="20"/>
          <w:szCs w:val="20"/>
        </w:rPr>
        <w:t>пропозиційною</w:t>
      </w:r>
      <w:proofErr w:type="spellEnd"/>
      <w:r w:rsidRPr="001F1640">
        <w:rPr>
          <w:sz w:val="20"/>
          <w:szCs w:val="20"/>
        </w:rPr>
        <w:t xml:space="preserve"> змінною, можна однозначно записати в одному з виглядів</w:t>
      </w:r>
      <w:r>
        <w:rPr>
          <w:sz w:val="20"/>
          <w:szCs w:val="20"/>
        </w:rPr>
        <w:t>:</w:t>
      </w:r>
      <w:r w:rsidRPr="001F1640">
        <w:rPr>
          <w:sz w:val="20"/>
          <w:szCs w:val="20"/>
        </w:rPr>
        <w:t xml:space="preserve"> </w:t>
      </w:r>
      <w:r w:rsidRPr="001F1640">
        <w:rPr>
          <w:position w:val="-10"/>
          <w:sz w:val="20"/>
          <w:szCs w:val="20"/>
        </w:rPr>
        <w:object w:dxaOrig="3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2pt" o:ole="">
            <v:imagedata r:id="rId4" o:title=""/>
          </v:shape>
          <o:OLEObject Type="Embed" ProgID="Equation.DSMT4" ShapeID="_x0000_i1025" DrawAspect="Content" ObjectID="_1574765577" r:id="rId5"/>
        </w:object>
      </w:r>
      <w:r w:rsidRPr="001F1640">
        <w:rPr>
          <w:sz w:val="20"/>
          <w:szCs w:val="20"/>
        </w:rPr>
        <w:t xml:space="preserve">, </w:t>
      </w:r>
      <w:r w:rsidRPr="001F1640">
        <w:rPr>
          <w:position w:val="-12"/>
          <w:sz w:val="20"/>
          <w:szCs w:val="20"/>
        </w:rPr>
        <w:object w:dxaOrig="680" w:dyaOrig="340">
          <v:shape id="_x0000_i1026" type="#_x0000_t75" style="width:33.75pt;height:17.25pt" o:ole="">
            <v:imagedata r:id="rId6" o:title=""/>
          </v:shape>
          <o:OLEObject Type="Embed" ProgID="Equation.DSMT4" ShapeID="_x0000_i1026" DrawAspect="Content" ObjectID="_1574765578" r:id="rId7"/>
        </w:object>
      </w:r>
      <w:r w:rsidRPr="001F1640">
        <w:rPr>
          <w:sz w:val="20"/>
          <w:szCs w:val="20"/>
        </w:rPr>
        <w:t xml:space="preserve">, </w:t>
      </w:r>
      <w:r w:rsidRPr="001F1640">
        <w:rPr>
          <w:position w:val="-12"/>
          <w:sz w:val="20"/>
          <w:szCs w:val="20"/>
        </w:rPr>
        <w:object w:dxaOrig="680" w:dyaOrig="340">
          <v:shape id="_x0000_i1027" type="#_x0000_t75" style="width:33.75pt;height:17.25pt" o:ole="">
            <v:imagedata r:id="rId8" o:title=""/>
          </v:shape>
          <o:OLEObject Type="Embed" ProgID="Equation.DSMT4" ShapeID="_x0000_i1027" DrawAspect="Content" ObjectID="_1574765579" r:id="rId9"/>
        </w:object>
      </w:r>
      <w:r w:rsidRPr="001F1640">
        <w:rPr>
          <w:sz w:val="20"/>
          <w:szCs w:val="20"/>
        </w:rPr>
        <w:t xml:space="preserve">, </w:t>
      </w:r>
      <w:r w:rsidRPr="001F1640">
        <w:rPr>
          <w:position w:val="-12"/>
          <w:sz w:val="20"/>
          <w:szCs w:val="20"/>
        </w:rPr>
        <w:object w:dxaOrig="780" w:dyaOrig="340">
          <v:shape id="_x0000_i1028" type="#_x0000_t75" style="width:39pt;height:17.25pt" o:ole="">
            <v:imagedata r:id="rId10" o:title=""/>
          </v:shape>
          <o:OLEObject Type="Embed" ProgID="Equation.DSMT4" ShapeID="_x0000_i1028" DrawAspect="Content" ObjectID="_1574765580" r:id="rId11"/>
        </w:object>
      </w:r>
      <w:r>
        <w:rPr>
          <w:sz w:val="20"/>
          <w:szCs w:val="20"/>
        </w:rPr>
        <w:t xml:space="preserve">, де </w:t>
      </w:r>
      <w:r w:rsidRPr="001F1640">
        <w:rPr>
          <w:position w:val="-10"/>
          <w:sz w:val="20"/>
          <w:szCs w:val="20"/>
        </w:rPr>
        <w:object w:dxaOrig="200" w:dyaOrig="240">
          <v:shape id="_x0000_i1029" type="#_x0000_t75" style="width:9.75pt;height:12pt" o:ole="">
            <v:imagedata r:id="rId12" o:title=""/>
          </v:shape>
          <o:OLEObject Type="Embed" ProgID="Equation.DSMT4" ShapeID="_x0000_i1029" DrawAspect="Content" ObjectID="_1574765581" r:id="rId13"/>
        </w:object>
      </w:r>
      <w:r w:rsidRPr="001F1640">
        <w:rPr>
          <w:sz w:val="20"/>
          <w:szCs w:val="20"/>
        </w:rPr>
        <w:t xml:space="preserve"> і </w:t>
      </w:r>
      <w:r w:rsidRPr="001F1640">
        <w:rPr>
          <w:position w:val="-10"/>
          <w:sz w:val="20"/>
          <w:szCs w:val="20"/>
        </w:rPr>
        <w:object w:dxaOrig="220" w:dyaOrig="240">
          <v:shape id="_x0000_i1030" type="#_x0000_t75" style="width:11.25pt;height:12pt" o:ole="">
            <v:imagedata r:id="rId14" o:title=""/>
          </v:shape>
          <o:OLEObject Type="Embed" ProgID="Equation.DSMT4" ShapeID="_x0000_i1030" DrawAspect="Content" ObjectID="_1574765582" r:id="rId15"/>
        </w:object>
      </w:r>
      <w:r>
        <w:rPr>
          <w:sz w:val="20"/>
          <w:szCs w:val="20"/>
        </w:rPr>
        <w:t xml:space="preserve"> – деякі формули ЧВ</w:t>
      </w:r>
      <w:r w:rsidRPr="001F1640">
        <w:rPr>
          <w:sz w:val="20"/>
          <w:szCs w:val="20"/>
        </w:rPr>
        <w:t>.</w:t>
      </w:r>
    </w:p>
    <w:p w:rsidR="00FB46A2" w:rsidRPr="001F1640" w:rsidRDefault="00FB46A2" w:rsidP="00FB46A2">
      <w:pPr>
        <w:ind w:firstLine="708"/>
        <w:rPr>
          <w:sz w:val="20"/>
          <w:szCs w:val="20"/>
        </w:rPr>
      </w:pPr>
      <w:r w:rsidRPr="001F1640">
        <w:rPr>
          <w:sz w:val="20"/>
          <w:szCs w:val="20"/>
        </w:rPr>
        <w:t xml:space="preserve">2. Які формули ЧВ  називають синтаксично еквівалентними? Довести синтаксичну еквівалентність </w:t>
      </w:r>
      <w:r w:rsidRPr="001F1640">
        <w:rPr>
          <w:position w:val="-12"/>
          <w:sz w:val="20"/>
          <w:szCs w:val="20"/>
        </w:rPr>
        <w:object w:dxaOrig="2620" w:dyaOrig="340">
          <v:shape id="_x0000_i1031" type="#_x0000_t75" style="width:131.25pt;height:17.25pt" o:ole="">
            <v:imagedata r:id="rId16" o:title=""/>
          </v:shape>
          <o:OLEObject Type="Embed" ProgID="Equation.DSMT4" ShapeID="_x0000_i1031" DrawAspect="Content" ObjectID="_1574765583" r:id="rId17"/>
        </w:object>
      </w:r>
      <w:r w:rsidRPr="001F1640">
        <w:rPr>
          <w:sz w:val="20"/>
          <w:szCs w:val="20"/>
        </w:rPr>
        <w:t>.</w:t>
      </w:r>
    </w:p>
    <w:p w:rsidR="00FB46A2" w:rsidRPr="001F1640" w:rsidRDefault="00FB46A2" w:rsidP="00FB46A2">
      <w:pPr>
        <w:ind w:firstLine="708"/>
        <w:rPr>
          <w:sz w:val="20"/>
          <w:szCs w:val="20"/>
        </w:rPr>
      </w:pPr>
      <w:r w:rsidRPr="001F1640">
        <w:rPr>
          <w:sz w:val="20"/>
          <w:szCs w:val="20"/>
        </w:rPr>
        <w:t xml:space="preserve">3. Що таке входження </w:t>
      </w:r>
      <w:proofErr w:type="spellStart"/>
      <w:r w:rsidRPr="001F1640">
        <w:rPr>
          <w:sz w:val="20"/>
          <w:szCs w:val="20"/>
        </w:rPr>
        <w:t>підформули</w:t>
      </w:r>
      <w:proofErr w:type="spellEnd"/>
      <w:r w:rsidRPr="001F1640">
        <w:rPr>
          <w:sz w:val="20"/>
          <w:szCs w:val="20"/>
        </w:rPr>
        <w:t xml:space="preserve"> в формулу. Л</w:t>
      </w:r>
      <w:r>
        <w:rPr>
          <w:sz w:val="20"/>
          <w:szCs w:val="20"/>
        </w:rPr>
        <w:t>ема про входження</w:t>
      </w:r>
      <w:r w:rsidRPr="001F1640">
        <w:rPr>
          <w:sz w:val="20"/>
          <w:szCs w:val="20"/>
        </w:rPr>
        <w:t>.</w:t>
      </w:r>
    </w:p>
    <w:p w:rsidR="00FB46A2" w:rsidRPr="001F1640" w:rsidRDefault="00FB46A2" w:rsidP="00FB46A2">
      <w:pPr>
        <w:ind w:firstLine="708"/>
        <w:rPr>
          <w:sz w:val="20"/>
          <w:szCs w:val="20"/>
        </w:rPr>
      </w:pPr>
      <w:r w:rsidRPr="001F1640">
        <w:rPr>
          <w:sz w:val="20"/>
          <w:szCs w:val="20"/>
        </w:rPr>
        <w:t xml:space="preserve">4. Теорема про </w:t>
      </w:r>
      <w:r>
        <w:rPr>
          <w:sz w:val="20"/>
          <w:szCs w:val="20"/>
        </w:rPr>
        <w:t>ДКНФ</w:t>
      </w:r>
      <w:r w:rsidRPr="001F1640">
        <w:rPr>
          <w:sz w:val="20"/>
          <w:szCs w:val="20"/>
        </w:rPr>
        <w:t>.</w:t>
      </w:r>
    </w:p>
    <w:p w:rsidR="00FB46A2" w:rsidRDefault="00FB46A2" w:rsidP="00FB46A2">
      <w:pPr>
        <w:ind w:firstLine="708"/>
        <w:rPr>
          <w:sz w:val="20"/>
          <w:szCs w:val="20"/>
        </w:rPr>
      </w:pPr>
      <w:r w:rsidRPr="001F1640">
        <w:rPr>
          <w:sz w:val="20"/>
          <w:szCs w:val="20"/>
        </w:rPr>
        <w:t>5. Теорема про несуперечливість ЧВ.</w:t>
      </w:r>
    </w:p>
    <w:p w:rsidR="00281296" w:rsidRDefault="00281296"/>
    <w:sectPr w:rsidR="00281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2"/>
    <w:rsid w:val="00281296"/>
    <w:rsid w:val="00680AB0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3B18"/>
  <w15:chartTrackingRefBased/>
  <w15:docId w15:val="{FC670BFA-A233-4192-8B17-02EF8C38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206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2017-12-14T11:57:00Z</dcterms:created>
  <dcterms:modified xsi:type="dcterms:W3CDTF">2017-12-14T12:00:00Z</dcterms:modified>
</cp:coreProperties>
</file>